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77A2B3"/>
    <w:p w14:paraId="45260984"/>
    <w:p w14:paraId="3B56F250"/>
    <w:p w14:paraId="1C55095E"/>
    <w:p w14:paraId="552F30B5"/>
    <w:p w14:paraId="70820F64"/>
    <w:p w14:paraId="24CDCC84"/>
    <w:p w14:paraId="09AB519D"/>
    <w:p w14:paraId="43FD9F64"/>
    <w:p w14:paraId="7E0D381F"/>
    <w:p w14:paraId="4D9B0D72"/>
    <w:p w14:paraId="7909C529">
      <w:pPr>
        <w:widowControl/>
        <w:jc w:val="center"/>
        <w:rPr>
          <w:rFonts w:ascii="宋体" w:hAnsi="宋体" w:eastAsia="宋体" w:cs="Times New Roman"/>
          <w:b/>
          <w:kern w:val="0"/>
          <w:sz w:val="52"/>
          <w:szCs w:val="52"/>
        </w:rPr>
      </w:pPr>
      <w:r>
        <w:rPr>
          <w:rFonts w:hint="eastAsia" w:ascii="宋体" w:hAnsi="宋体" w:eastAsia="宋体" w:cs="Times New Roman"/>
          <w:b/>
          <w:kern w:val="0"/>
          <w:sz w:val="52"/>
          <w:szCs w:val="52"/>
        </w:rPr>
        <w:t>收入申报系统</w:t>
      </w:r>
    </w:p>
    <w:p w14:paraId="22E2EAEB">
      <w:pPr>
        <w:widowControl/>
        <w:ind w:firstLine="3654" w:firstLineChars="700"/>
        <w:rPr>
          <w:rFonts w:ascii="宋体" w:hAnsi="宋体" w:eastAsia="宋体" w:cs="Times New Roman"/>
          <w:b/>
          <w:kern w:val="0"/>
          <w:sz w:val="52"/>
          <w:szCs w:val="52"/>
        </w:rPr>
      </w:pPr>
      <w:r>
        <w:rPr>
          <w:rFonts w:hint="eastAsia" w:ascii="宋体" w:hAnsi="宋体" w:eastAsia="宋体" w:cs="Times New Roman"/>
          <w:b/>
          <w:kern w:val="0"/>
          <w:sz w:val="52"/>
          <w:szCs w:val="52"/>
        </w:rPr>
        <w:t>操作指南</w:t>
      </w:r>
    </w:p>
    <w:p w14:paraId="2EA5B0BF">
      <w:pPr>
        <w:widowControl/>
        <w:jc w:val="left"/>
      </w:pPr>
      <w:r>
        <w:br w:type="page"/>
      </w:r>
    </w:p>
    <w:p w14:paraId="5A3FC234">
      <w:pPr>
        <w:pStyle w:val="7"/>
        <w:spacing w:line="600" w:lineRule="exact"/>
        <w:rPr>
          <w:rFonts w:ascii="方正小标宋简体" w:eastAsia="方正小标宋简体"/>
        </w:rPr>
      </w:pPr>
      <w:r>
        <w:rPr>
          <w:rFonts w:hint="eastAsia" w:ascii="方正小标宋简体" w:eastAsia="方正小标宋简体"/>
        </w:rPr>
        <w:t>申报系统操作指南</w:t>
      </w:r>
    </w:p>
    <w:p w14:paraId="4B1FAEB2">
      <w:pPr>
        <w:spacing w:line="580" w:lineRule="exact"/>
        <w:ind w:firstLine="640" w:firstLineChars="200"/>
        <w:rPr>
          <w:rFonts w:ascii="仿宋" w:hAnsi="仿宋"/>
          <w:szCs w:val="32"/>
        </w:rPr>
      </w:pPr>
    </w:p>
    <w:p w14:paraId="6E775CD4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收入申报系统用于发放需要计税的收入，如咨询费、劳务费、科研绩效等。不需要计税的报销项目在“</w:t>
      </w:r>
      <w:r>
        <w:rPr>
          <w:rFonts w:hint="eastAsia" w:ascii="仿宋" w:hAnsi="仿宋"/>
          <w:szCs w:val="32"/>
        </w:rPr>
        <w:t>智能</w:t>
      </w:r>
      <w:r>
        <w:rPr>
          <w:rFonts w:ascii="仿宋" w:hAnsi="仿宋"/>
          <w:szCs w:val="32"/>
        </w:rPr>
        <w:t>报销”中填写，如出差报销、资产报销、日常费用报销等。</w:t>
      </w:r>
    </w:p>
    <w:p w14:paraId="39A6899B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校内人员只能在“校内人员其他工薪收入申报”中填写工薪发放</w:t>
      </w:r>
      <w:r>
        <w:rPr>
          <w:rFonts w:hint="eastAsia" w:ascii="仿宋" w:hAnsi="仿宋"/>
          <w:szCs w:val="32"/>
        </w:rPr>
        <w:t>；</w:t>
      </w:r>
      <w:r>
        <w:rPr>
          <w:rFonts w:ascii="仿宋" w:hAnsi="仿宋"/>
          <w:szCs w:val="32"/>
        </w:rPr>
        <w:t>校外人员在“校外人员劳务申报”中填写；</w:t>
      </w:r>
      <w:r>
        <w:rPr>
          <w:rFonts w:hint="eastAsia" w:ascii="仿宋" w:hAnsi="仿宋"/>
          <w:szCs w:val="32"/>
        </w:rPr>
        <w:t>校内学生劳务在“学生劳务申报”中填写</w:t>
      </w:r>
      <w:r>
        <w:rPr>
          <w:rFonts w:ascii="仿宋" w:hAnsi="仿宋"/>
          <w:szCs w:val="32"/>
        </w:rPr>
        <w:t>。</w:t>
      </w:r>
    </w:p>
    <w:p w14:paraId="14277538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color w:val="FF0000"/>
          <w:szCs w:val="32"/>
        </w:rPr>
        <w:t>重要提示：使用</w:t>
      </w:r>
      <w:r>
        <w:rPr>
          <w:rFonts w:hint="eastAsia" w:ascii="仿宋" w:hAnsi="仿宋"/>
          <w:color w:val="FF0000"/>
          <w:szCs w:val="32"/>
        </w:rPr>
        <w:t>3</w:t>
      </w:r>
      <w:r>
        <w:rPr>
          <w:rFonts w:ascii="仿宋" w:hAnsi="仿宋"/>
          <w:color w:val="FF0000"/>
          <w:szCs w:val="32"/>
        </w:rPr>
        <w:t>60浏览器</w:t>
      </w:r>
      <w:r>
        <w:rPr>
          <w:rFonts w:hint="eastAsia" w:ascii="仿宋" w:hAnsi="仿宋"/>
          <w:color w:val="FF0000"/>
          <w:szCs w:val="32"/>
        </w:rPr>
        <w:t>时</w:t>
      </w:r>
      <w:r>
        <w:rPr>
          <w:rFonts w:ascii="仿宋" w:hAnsi="仿宋"/>
          <w:color w:val="FF0000"/>
          <w:szCs w:val="32"/>
        </w:rPr>
        <w:t>必须是极速模式</w:t>
      </w:r>
      <w:r>
        <w:rPr>
          <w:rFonts w:ascii="仿宋" w:hAnsi="仿宋"/>
          <w:szCs w:val="32"/>
        </w:rPr>
        <w:t>，如图</w:t>
      </w:r>
      <w:r>
        <w:rPr>
          <w:rFonts w:hint="eastAsia" w:ascii="仿宋" w:hAnsi="仿宋"/>
          <w:szCs w:val="32"/>
        </w:rPr>
        <w:t>1中红色方框的位置可以选择模式，如果选择兼容模式，将默认进入校内人员其他工薪收入申报，左侧的内容无法显示</w:t>
      </w:r>
      <w:r>
        <w:rPr>
          <w:rFonts w:ascii="仿宋" w:hAnsi="仿宋"/>
          <w:szCs w:val="32"/>
        </w:rPr>
        <w:t>。</w:t>
      </w:r>
      <w:r>
        <w:rPr>
          <w:rFonts w:ascii="仿宋" w:hAnsi="仿宋"/>
          <w:color w:val="FF0000"/>
          <w:szCs w:val="32"/>
        </w:rPr>
        <w:t>其它浏览器无限制</w:t>
      </w:r>
      <w:r>
        <w:rPr>
          <w:rFonts w:ascii="仿宋" w:hAnsi="仿宋"/>
          <w:szCs w:val="32"/>
        </w:rPr>
        <w:t>，如</w:t>
      </w:r>
      <w:r>
        <w:rPr>
          <w:rFonts w:hint="eastAsia" w:ascii="仿宋" w:hAnsi="仿宋"/>
          <w:szCs w:val="32"/>
        </w:rPr>
        <w:t>谷歌，QQ，火狐等。</w:t>
      </w:r>
    </w:p>
    <w:p w14:paraId="7C5E0A31">
      <w:pPr>
        <w:spacing w:line="580" w:lineRule="exact"/>
        <w:ind w:firstLine="640" w:firstLineChars="200"/>
        <w:rPr>
          <w:rFonts w:ascii="仿宋" w:hAnsi="仿宋"/>
          <w:szCs w:val="32"/>
        </w:rPr>
      </w:pPr>
    </w:p>
    <w:p w14:paraId="454D0DBA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hint="eastAsia" w:ascii="仿宋_GB2312" w:eastAsia="仿宋_GB2312" w:hAnsiTheme="majorEastAsia"/>
          <w:b/>
          <w:sz w:val="44"/>
          <w:szCs w:val="44"/>
        </w:rPr>
        <w:t>第一节 登录</w:t>
      </w:r>
    </w:p>
    <w:p w14:paraId="55D13332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一、</w:t>
      </w: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ab/>
      </w: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平台跳转登录</w:t>
      </w:r>
    </w:p>
    <w:p w14:paraId="41EC6542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登录“智慧财务网上综合服务平台”，在左侧点击“收入申报 ”。</w:t>
      </w:r>
    </w:p>
    <w:p w14:paraId="5D89E11B">
      <w:pPr>
        <w:ind w:firstLine="640" w:firstLineChars="200"/>
        <w:rPr>
          <w:rFonts w:ascii="宋体" w:hAnsi="宋体" w:eastAsia="宋体" w:cs="Times New Roman"/>
          <w:b/>
          <w:kern w:val="0"/>
          <w:szCs w:val="32"/>
        </w:rPr>
      </w:pPr>
      <w:r>
        <w:drawing>
          <wp:inline distT="0" distB="0" distL="114300" distR="114300">
            <wp:extent cx="5263515" cy="1551305"/>
            <wp:effectExtent l="0" t="0" r="4445" b="317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55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CB7221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二、</w:t>
      </w: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ab/>
      </w: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收入申报首页</w:t>
      </w:r>
    </w:p>
    <w:p w14:paraId="5F24D8A5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13400" cy="1394460"/>
            <wp:effectExtent l="0" t="0" r="635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76530" cy="1410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9619C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hint="eastAsia" w:ascii="仿宋" w:hAnsi="仿宋"/>
          <w:b/>
          <w:bCs/>
          <w:sz w:val="21"/>
          <w:szCs w:val="21"/>
        </w:rPr>
        <w:t>1</w:t>
      </w:r>
    </w:p>
    <w:p w14:paraId="68DCD425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第二节</w:t>
      </w:r>
      <w:r>
        <w:rPr>
          <w:rFonts w:hint="eastAsia" w:ascii="仿宋_GB2312" w:eastAsia="仿宋_GB2312" w:hAnsiTheme="majorEastAsia"/>
          <w:b/>
          <w:sz w:val="44"/>
          <w:szCs w:val="44"/>
        </w:rPr>
        <w:t xml:space="preserve"> </w:t>
      </w:r>
      <w:r>
        <w:rPr>
          <w:rFonts w:ascii="仿宋_GB2312" w:eastAsia="仿宋_GB2312" w:hAnsiTheme="majorEastAsia"/>
          <w:b/>
          <w:sz w:val="44"/>
          <w:szCs w:val="44"/>
        </w:rPr>
        <w:t>校内人员其他工薪申报</w:t>
      </w:r>
    </w:p>
    <w:p w14:paraId="70FD51FD">
      <w:pPr>
        <w:spacing w:line="460" w:lineRule="exact"/>
        <w:rPr>
          <w:rFonts w:ascii="仿宋" w:hAnsi="仿宋"/>
          <w:b/>
          <w:bCs/>
          <w:szCs w:val="32"/>
        </w:rPr>
      </w:pPr>
    </w:p>
    <w:p w14:paraId="1BA3B873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一、</w:t>
      </w:r>
      <w: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  <w:t>其他工薪收入发放录入</w:t>
      </w: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-单</w:t>
      </w:r>
    </w:p>
    <w:p w14:paraId="524C5AB0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第一步：发放类型及支付选择</w:t>
      </w:r>
    </w:p>
    <w:p w14:paraId="25481FBE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点击左侧“校内人员其他工薪收入申报”——“其他工薪收入发放录入</w:t>
      </w:r>
      <w:r>
        <w:rPr>
          <w:rFonts w:hint="eastAsia" w:ascii="仿宋" w:hAnsi="仿宋"/>
          <w:szCs w:val="32"/>
        </w:rPr>
        <w:t>-单</w:t>
      </w:r>
      <w:r>
        <w:rPr>
          <w:rFonts w:ascii="仿宋" w:hAnsi="仿宋"/>
          <w:szCs w:val="32"/>
        </w:rPr>
        <w:t>”。</w:t>
      </w:r>
    </w:p>
    <w:p w14:paraId="77F9D450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21020" cy="895350"/>
            <wp:effectExtent l="0" t="0" r="1778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7"/>
                    <a:srcRect l="-2" t="-2" r="35698" b="64972"/>
                    <a:stretch>
                      <a:fillRect/>
                    </a:stretch>
                  </pic:blipFill>
                  <pic:spPr>
                    <a:xfrm>
                      <a:off x="0" y="0"/>
                      <a:ext cx="5681710" cy="8953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4C9F77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</w:t>
      </w:r>
    </w:p>
    <w:p w14:paraId="308011FE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在提示框中选择“发放类型”，如“劳务费”，点击变蓝后点“填写申报表”进入填写界面，在图</w:t>
      </w:r>
      <w:r>
        <w:rPr>
          <w:rFonts w:hint="eastAsia" w:ascii="仿宋" w:hAnsi="仿宋"/>
          <w:szCs w:val="32"/>
        </w:rPr>
        <w:t>4红色框的“发放类型选择”中可更改申报类型。</w:t>
      </w:r>
    </w:p>
    <w:p w14:paraId="6CD37CE9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390515" cy="1503045"/>
            <wp:effectExtent l="0" t="0" r="63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rcRect l="16470" r="-262" b="15694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150304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84E50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</w:t>
      </w:r>
    </w:p>
    <w:p w14:paraId="67AB6667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81650" cy="972185"/>
            <wp:effectExtent l="0" t="0" r="0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rcRect b="52181"/>
                    <a:stretch>
                      <a:fillRect/>
                    </a:stretch>
                  </pic:blipFill>
                  <pic:spPr>
                    <a:xfrm>
                      <a:off x="0" y="0"/>
                      <a:ext cx="5628621" cy="9721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23039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图4</w:t>
      </w:r>
    </w:p>
    <w:p w14:paraId="52CD12AA">
      <w:pPr>
        <w:spacing w:line="4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3.点击图</w:t>
      </w:r>
      <w:r>
        <w:rPr>
          <w:rFonts w:ascii="仿宋" w:hAnsi="仿宋"/>
          <w:szCs w:val="32"/>
        </w:rPr>
        <w:t>4</w:t>
      </w:r>
      <w:r>
        <w:rPr>
          <w:rFonts w:hint="eastAsia" w:ascii="仿宋" w:hAnsi="仿宋"/>
          <w:szCs w:val="32"/>
        </w:rPr>
        <w:t>右侧红色框中的“帮助”可进入报销流程帮助界面。</w:t>
      </w:r>
    </w:p>
    <w:p w14:paraId="12A5C1AF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第二步：经费项目选择</w:t>
      </w:r>
    </w:p>
    <w:p w14:paraId="0A44A6AF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50535" cy="1478915"/>
            <wp:effectExtent l="0" t="0" r="0" b="698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rcRect l="1" r="36807" b="52608"/>
                    <a:stretch>
                      <a:fillRect/>
                    </a:stretch>
                  </pic:blipFill>
                  <pic:spPr>
                    <a:xfrm>
                      <a:off x="0" y="0"/>
                      <a:ext cx="5617510" cy="14967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8DA25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图5</w:t>
      </w:r>
    </w:p>
    <w:p w14:paraId="3733B92A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hint="eastAsia" w:ascii="仿宋" w:hAnsi="仿宋"/>
          <w:szCs w:val="32"/>
        </w:rPr>
        <w:t>6</w:t>
      </w:r>
      <w:r>
        <w:rPr>
          <w:rFonts w:ascii="仿宋" w:hAnsi="仿宋"/>
          <w:szCs w:val="32"/>
        </w:rPr>
        <w:t>。</w:t>
      </w:r>
    </w:p>
    <w:p w14:paraId="348CA248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81015" cy="2146300"/>
            <wp:effectExtent l="0" t="0" r="635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rcRect l="-1" r="-16" b="7828"/>
                    <a:stretch>
                      <a:fillRect/>
                    </a:stretch>
                  </pic:blipFill>
                  <pic:spPr>
                    <a:xfrm>
                      <a:off x="0" y="0"/>
                      <a:ext cx="5605190" cy="215615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FA1A96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图6</w:t>
      </w:r>
    </w:p>
    <w:p w14:paraId="05B235F2">
      <w:pPr>
        <w:spacing w:line="50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点击“清空经费”将清空选择的项目信息。</w:t>
      </w:r>
    </w:p>
    <w:p w14:paraId="0E04B492">
      <w:pPr>
        <w:spacing w:line="500" w:lineRule="exact"/>
        <w:ind w:firstLine="640" w:firstLineChars="200"/>
        <w:rPr>
          <w:rFonts w:ascii="仿宋" w:hAnsi="仿宋"/>
          <w:b/>
          <w:bCs/>
          <w:color w:val="4472C4" w:themeColor="accent5"/>
          <w:szCs w:val="32"/>
          <w14:textFill>
            <w14:solidFill>
              <w14:schemeClr w14:val="accent5"/>
            </w14:solidFill>
          </w14:textFill>
        </w:rPr>
      </w:pPr>
      <w:r>
        <w:rPr>
          <w:rFonts w:hint="eastAsia" w:ascii="仿宋" w:hAnsi="仿宋"/>
          <w:szCs w:val="32"/>
        </w:rPr>
        <w:t>3.</w:t>
      </w:r>
      <w:r>
        <w:rPr>
          <w:rFonts w:ascii="仿宋" w:hAnsi="仿宋"/>
          <w:szCs w:val="32"/>
        </w:rPr>
        <w:t>点击“</w:t>
      </w:r>
      <w:r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hint="eastAsia" w:ascii="仿宋" w:hAnsi="仿宋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hint="eastAsia" w:ascii="仿宋" w:hAnsi="仿宋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hint="eastAsia" w:ascii="仿宋" w:hAnsi="仿宋"/>
          <w:szCs w:val="32"/>
        </w:rPr>
        <w:t>，并将</w:t>
      </w:r>
      <w:r>
        <w:rPr>
          <w:rFonts w:hint="eastAsia" w:ascii="仿宋" w:hAnsi="仿宋"/>
          <w:color w:val="FF0000"/>
          <w:szCs w:val="32"/>
        </w:rPr>
        <w:t>已填写但未报销</w:t>
      </w:r>
      <w:r>
        <w:rPr>
          <w:rFonts w:hint="eastAsia" w:ascii="仿宋" w:hAnsi="仿宋"/>
          <w:szCs w:val="32"/>
        </w:rPr>
        <w:t>的单据在“其他工薪收入发放管理-单”中</w:t>
      </w:r>
      <w:r>
        <w:rPr>
          <w:rFonts w:hint="eastAsia" w:ascii="仿宋" w:hAnsi="仿宋"/>
          <w:color w:val="FF0000"/>
          <w:szCs w:val="32"/>
        </w:rPr>
        <w:t>选择对应年、月</w:t>
      </w:r>
      <w:r>
        <w:rPr>
          <w:rFonts w:hint="eastAsia" w:ascii="仿宋" w:hAnsi="仿宋"/>
          <w:szCs w:val="32"/>
        </w:rPr>
        <w:t>后删除，已填写但未报销的单据会占用额度。</w:t>
      </w:r>
    </w:p>
    <w:p w14:paraId="65A5BE72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第三步：人员明细填报</w:t>
      </w:r>
    </w:p>
    <w:p w14:paraId="54E0DD3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szCs w:val="32"/>
        </w:rPr>
        <w:drawing>
          <wp:inline distT="0" distB="0" distL="0" distR="0">
            <wp:extent cx="5628005" cy="1962785"/>
            <wp:effectExtent l="0" t="0" r="10795" b="1841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rcRect r="10681"/>
                    <a:stretch>
                      <a:fillRect/>
                    </a:stretch>
                  </pic:blipFill>
                  <pic:spPr>
                    <a:xfrm>
                      <a:off x="0" y="0"/>
                      <a:ext cx="5669915" cy="19627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" w:hAnsi="仿宋"/>
          <w:b/>
          <w:bCs/>
          <w:sz w:val="21"/>
          <w:szCs w:val="21"/>
        </w:rPr>
        <w:t>图7</w:t>
      </w:r>
    </w:p>
    <w:p w14:paraId="4EBA9997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14:paraId="134FCA58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hint="eastAsia" w:ascii="仿宋" w:hAnsi="仿宋"/>
          <w:szCs w:val="32"/>
        </w:rPr>
        <w:t>行：选中填写的具体行，左侧勾选之后点击上方的“删除”按钮；也可直接点击右侧的“删除”按钮删除。</w:t>
      </w:r>
    </w:p>
    <w:p w14:paraId="78F78420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34355" cy="969645"/>
            <wp:effectExtent l="0" t="0" r="4445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55646" cy="973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694B4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hint="eastAsia" w:ascii="仿宋" w:hAnsi="仿宋"/>
          <w:b/>
          <w:bCs/>
          <w:sz w:val="21"/>
          <w:szCs w:val="21"/>
        </w:rPr>
        <w:t>图</w:t>
      </w:r>
      <w:r>
        <w:rPr>
          <w:rFonts w:ascii="仿宋" w:hAnsi="仿宋"/>
          <w:b/>
          <w:bCs/>
          <w:sz w:val="21"/>
          <w:szCs w:val="21"/>
        </w:rPr>
        <w:t>8</w:t>
      </w:r>
    </w:p>
    <w:p w14:paraId="086E9C3E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3.</w:t>
      </w:r>
      <w:r>
        <w:rPr>
          <w:rFonts w:ascii="仿宋" w:hAnsi="仿宋"/>
          <w:szCs w:val="32"/>
        </w:rPr>
        <w:t>导出：将填写的报销</w:t>
      </w:r>
      <w:r>
        <w:rPr>
          <w:rFonts w:hint="eastAsia" w:ascii="仿宋" w:hAnsi="仿宋"/>
          <w:szCs w:val="32"/>
        </w:rPr>
        <w:t>单</w:t>
      </w:r>
      <w:r>
        <w:rPr>
          <w:rFonts w:ascii="仿宋" w:hAnsi="仿宋"/>
          <w:szCs w:val="32"/>
        </w:rPr>
        <w:t>导出为表格；</w:t>
      </w:r>
    </w:p>
    <w:p w14:paraId="4FFD01D2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4.</w:t>
      </w:r>
      <w:r>
        <w:rPr>
          <w:rFonts w:ascii="仿宋" w:hAnsi="仿宋"/>
          <w:szCs w:val="32"/>
        </w:rPr>
        <w:t>教职工模板导出：将模板导出后直接在模板中填写报销人员信息，填写完成后导入即可；</w:t>
      </w:r>
    </w:p>
    <w:p w14:paraId="24A539DA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14:paraId="311142B1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6.</w:t>
      </w:r>
      <w:r>
        <w:rPr>
          <w:rFonts w:ascii="仿宋" w:hAnsi="仿宋"/>
          <w:szCs w:val="32"/>
        </w:rPr>
        <w:t>人员选择：输入教职工工号即可带出教职工信息；</w:t>
      </w:r>
    </w:p>
    <w:p w14:paraId="77EFE346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7.</w:t>
      </w:r>
      <w:r>
        <w:rPr>
          <w:rFonts w:ascii="仿宋" w:hAnsi="仿宋"/>
          <w:szCs w:val="32"/>
        </w:rPr>
        <w:t>备注：填写报销摘要；</w:t>
      </w:r>
    </w:p>
    <w:p w14:paraId="0EA112D1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8.</w:t>
      </w:r>
      <w:r>
        <w:rPr>
          <w:rFonts w:ascii="仿宋" w:hAnsi="仿宋"/>
          <w:szCs w:val="32"/>
        </w:rPr>
        <w:t>经办人：填写报销单据的经办人员；</w:t>
      </w:r>
    </w:p>
    <w:p w14:paraId="29AAC963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9.</w:t>
      </w:r>
      <w:r>
        <w:rPr>
          <w:rFonts w:ascii="仿宋" w:hAnsi="仿宋"/>
          <w:szCs w:val="32"/>
        </w:rPr>
        <w:t>电话：经办人员电话（建议填手机）；</w:t>
      </w:r>
    </w:p>
    <w:p w14:paraId="4641CBC4">
      <w:pPr>
        <w:spacing w:line="4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10.</w:t>
      </w:r>
      <w:r>
        <w:rPr>
          <w:rFonts w:ascii="仿宋" w:hAnsi="仿宋"/>
          <w:szCs w:val="32"/>
        </w:rPr>
        <w:t>报销单据的发放流水号是唯一的，如果要更改报账卡号，可以点击图9</w:t>
      </w:r>
      <w:r>
        <w:rPr>
          <w:rFonts w:hint="eastAsia" w:ascii="仿宋" w:hAnsi="仿宋"/>
          <w:szCs w:val="32"/>
        </w:rPr>
        <w:t>中的“更换卡号”进行更换。</w:t>
      </w:r>
    </w:p>
    <w:p w14:paraId="69DE0CC7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45785" cy="1880235"/>
            <wp:effectExtent l="0" t="0" r="12065" b="571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6427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157004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图9</w:t>
      </w:r>
    </w:p>
    <w:p w14:paraId="3A987B72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第四步：提交审批</w:t>
      </w:r>
    </w:p>
    <w:p w14:paraId="4B4E12A8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在填好报销金额后，点击第四步的“保存”，“保存”后还可继续修改。</w:t>
      </w:r>
    </w:p>
    <w:p w14:paraId="3E326DB1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725295"/>
            <wp:effectExtent l="0" t="0" r="0" b="825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109B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图10</w:t>
      </w:r>
    </w:p>
    <w:p w14:paraId="65C3D0B1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 “下一步：获取审批流程”，可</w:t>
      </w:r>
      <w:r>
        <w:rPr>
          <w:rFonts w:hint="eastAsia" w:ascii="仿宋" w:hAnsi="仿宋"/>
          <w:szCs w:val="32"/>
        </w:rPr>
        <w:t>看到审批人，在“上传附件”处可以上传线上审批材料。</w:t>
      </w:r>
    </w:p>
    <w:p w14:paraId="7CE7989B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>
        <w:rPr>
          <w:rFonts w:ascii="仿宋" w:hAnsi="仿宋"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14:paraId="07B723CF">
      <w:pPr>
        <w:spacing w:line="580" w:lineRule="exact"/>
        <w:ind w:firstLine="643" w:firstLineChars="200"/>
        <w:rPr>
          <w:rFonts w:ascii="仿宋" w:hAnsi="仿宋"/>
          <w:b/>
          <w:color w:val="FF0000"/>
          <w:szCs w:val="32"/>
        </w:rPr>
      </w:pPr>
      <w:r>
        <w:rPr>
          <w:rFonts w:ascii="仿宋" w:hAnsi="仿宋"/>
          <w:b/>
          <w:color w:val="FF0000"/>
          <w:szCs w:val="32"/>
        </w:rPr>
        <w:t>注意：如果“提交审批”按钮未出现，向上滑动页面后再向下拉，即可出现。</w:t>
      </w:r>
    </w:p>
    <w:p w14:paraId="208E3CAF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3268980"/>
            <wp:effectExtent l="0" t="0" r="0" b="762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26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2479B">
      <w:pPr>
        <w:spacing w:line="400" w:lineRule="exact"/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图11</w:t>
      </w:r>
    </w:p>
    <w:p w14:paraId="422A2E75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二、其他工薪收入发放管理-单</w:t>
      </w:r>
    </w:p>
    <w:p w14:paraId="422918E0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“其他工薪收入发放管理</w:t>
      </w:r>
      <w:r>
        <w:rPr>
          <w:rFonts w:hint="eastAsia" w:ascii="仿宋" w:hAnsi="仿宋"/>
          <w:szCs w:val="32"/>
        </w:rPr>
        <w:t>-单</w:t>
      </w:r>
      <w:r>
        <w:rPr>
          <w:rFonts w:ascii="仿宋" w:hAnsi="仿宋"/>
          <w:szCs w:val="32"/>
        </w:rPr>
        <w:t>”对填写了的报销单进行管理，如果有</w:t>
      </w:r>
      <w:r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hint="eastAsia" w:ascii="仿宋" w:hAnsi="仿宋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2中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025年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2月的报销单，需要选择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025年、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2月才能出现，</w:t>
      </w:r>
      <w:r>
        <w:rPr>
          <w:rFonts w:hint="eastAsia" w:ascii="仿宋" w:hAnsi="仿宋"/>
          <w:szCs w:val="32"/>
        </w:rPr>
        <w:t>未</w:t>
      </w:r>
      <w:r>
        <w:rPr>
          <w:rFonts w:ascii="仿宋" w:hAnsi="仿宋"/>
          <w:szCs w:val="32"/>
        </w:rPr>
        <w:t>制单的单据才</w:t>
      </w:r>
      <w:r>
        <w:rPr>
          <w:rFonts w:hint="eastAsia" w:ascii="仿宋" w:hAnsi="仿宋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>
        <w:rPr>
          <w:rFonts w:hint="eastAsia" w:ascii="仿宋" w:hAnsi="仿宋"/>
          <w:color w:val="FF0000"/>
          <w:szCs w:val="32"/>
        </w:rPr>
        <w:t>不可删除</w:t>
      </w:r>
      <w:r>
        <w:rPr>
          <w:rFonts w:hint="eastAsia" w:ascii="仿宋" w:hAnsi="仿宋"/>
          <w:szCs w:val="32"/>
        </w:rPr>
        <w:t>。</w:t>
      </w:r>
    </w:p>
    <w:p w14:paraId="68F073C9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946785"/>
            <wp:effectExtent l="0" t="0" r="0" b="571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75E69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图12</w:t>
      </w:r>
    </w:p>
    <w:p w14:paraId="5F33070A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点击右侧“更多操作”可对报销单进行“修改”、“打印”、“复制”、“删除”操作，如图13，点击</w:t>
      </w:r>
      <w:r>
        <w:rPr>
          <w:rFonts w:hint="eastAsia" w:ascii="仿宋" w:hAnsi="仿宋"/>
          <w:szCs w:val="32"/>
        </w:rPr>
        <w:t>“物流流程”可以查看目前审批进度。</w:t>
      </w:r>
    </w:p>
    <w:p w14:paraId="5D39C989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24195" cy="165481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8"/>
                    <a:srcRect t="21829"/>
                    <a:stretch>
                      <a:fillRect/>
                    </a:stretch>
                  </pic:blipFill>
                  <pic:spPr>
                    <a:xfrm>
                      <a:off x="0" y="0"/>
                      <a:ext cx="5647040" cy="166188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B8246">
      <w:pPr>
        <w:rPr>
          <w:rFonts w:ascii="仿宋" w:hAnsi="仿宋"/>
          <w:szCs w:val="32"/>
        </w:rPr>
      </w:pPr>
      <w:r>
        <w:drawing>
          <wp:inline distT="0" distB="0" distL="0" distR="0">
            <wp:extent cx="5624195" cy="185166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9832" cy="1854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EDD">
      <w:pPr>
        <w:jc w:val="center"/>
        <w:rPr>
          <w:rFonts w:ascii="仿宋" w:hAnsi="仿宋"/>
          <w:b/>
          <w:bCs/>
          <w:color w:val="FF0000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图13</w:t>
      </w:r>
    </w:p>
    <w:p w14:paraId="2ACFF90D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hint="eastAsia" w:ascii="仿宋_GB2312" w:eastAsia="仿宋_GB2312" w:hAnsiTheme="majorEastAsia"/>
          <w:b/>
          <w:sz w:val="44"/>
          <w:szCs w:val="44"/>
        </w:rPr>
        <w:t>第三节 校外人员劳务申报</w:t>
      </w:r>
    </w:p>
    <w:p w14:paraId="624FCFC7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一、校外人员信息采集</w:t>
      </w:r>
    </w:p>
    <w:p w14:paraId="2B41A235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69280" cy="86487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41392" cy="876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C9CCB8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图14</w:t>
      </w:r>
    </w:p>
    <w:p w14:paraId="39D8124A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校外人员劳务发放前需要先采集校外人员信息。</w:t>
      </w:r>
    </w:p>
    <w:p w14:paraId="682A9F96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新增：添加报销输入行，填写人员信息；</w:t>
      </w:r>
    </w:p>
    <w:p w14:paraId="773AC7E4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修改：选中某一行，修改校外人员信息；</w:t>
      </w:r>
    </w:p>
    <w:p w14:paraId="447ECB5C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3.</w:t>
      </w:r>
      <w:r>
        <w:rPr>
          <w:rFonts w:ascii="仿宋" w:hAnsi="仿宋"/>
          <w:szCs w:val="32"/>
        </w:rPr>
        <w:t>校外人员模板下载：可直接下载校外人员模板，在模板中填写好人员信息，然后点击“校外人员信息导入”进行导入；</w:t>
      </w:r>
    </w:p>
    <w:p w14:paraId="63BCB3AF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4.</w:t>
      </w:r>
      <w:r>
        <w:rPr>
          <w:rFonts w:ascii="仿宋" w:hAnsi="仿宋"/>
          <w:szCs w:val="32"/>
        </w:rPr>
        <w:t>删除</w:t>
      </w:r>
      <w:r>
        <w:rPr>
          <w:rFonts w:hint="eastAsia" w:ascii="仿宋" w:hAnsi="仿宋"/>
          <w:szCs w:val="32"/>
        </w:rPr>
        <w:t>人员信息：选中某一行，删除此行人员信息；</w:t>
      </w:r>
    </w:p>
    <w:p w14:paraId="689F5C9C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5.</w:t>
      </w:r>
      <w:r>
        <w:rPr>
          <w:rFonts w:ascii="仿宋" w:hAnsi="仿宋"/>
          <w:szCs w:val="32"/>
        </w:rPr>
        <w:t>查询人员：在图14右侧可输入“证件号码”查询人员信息，也可使用高级查询查找人员，使用此方法可以查找所有在我校发放过校外劳务的人员，只要在系统中存在，就无需新增录入校外人员信息，可直接在“校外人员劳务发放录入”中搜索校外人员并使用，查询如图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5、图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6，建议用身份证号匹配。如果人员信息有误，选中人员信息后点击上方“</w:t>
      </w:r>
      <w:r>
        <w:rPr>
          <w:rFonts w:ascii="仿宋" w:hAnsi="仿宋"/>
          <w:color w:val="FF0000"/>
          <w:szCs w:val="32"/>
        </w:rPr>
        <w:t>修改</w:t>
      </w:r>
      <w:r>
        <w:rPr>
          <w:rFonts w:ascii="仿宋" w:hAnsi="仿宋"/>
          <w:szCs w:val="32"/>
        </w:rPr>
        <w:t>”，即可修改人员信息。</w:t>
      </w:r>
    </w:p>
    <w:p w14:paraId="394E5688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32450" cy="1217930"/>
            <wp:effectExtent l="0" t="0" r="6350" b="12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48820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6EC9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图15</w:t>
      </w:r>
    </w:p>
    <w:p w14:paraId="2BAA629A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69280" cy="960755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7765" cy="977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2F586">
      <w:pPr>
        <w:jc w:val="center"/>
        <w:rPr>
          <w:rFonts w:ascii="仿宋" w:hAnsi="仿宋"/>
          <w:szCs w:val="32"/>
        </w:rPr>
      </w:pPr>
      <w:r>
        <w:rPr>
          <w:rFonts w:ascii="仿宋" w:hAnsi="仿宋"/>
          <w:b/>
          <w:bCs/>
          <w:sz w:val="21"/>
          <w:szCs w:val="21"/>
        </w:rPr>
        <w:t>图16</w:t>
      </w:r>
    </w:p>
    <w:p w14:paraId="3592F019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人员信息新增图示如下：</w:t>
      </w:r>
    </w:p>
    <w:p w14:paraId="2D16A162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05780" cy="329946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39997" cy="331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670F6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376237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E7E6B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hint="eastAsia" w:ascii="仿宋" w:hAnsi="仿宋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7</w:t>
      </w:r>
    </w:p>
    <w:p w14:paraId="128F56FC">
      <w:pPr>
        <w:spacing w:line="540" w:lineRule="exact"/>
        <w:ind w:firstLine="640" w:firstLineChars="200"/>
        <w:rPr>
          <w:rFonts w:ascii="仿宋" w:hAnsi="仿宋"/>
          <w:color w:val="FF0000"/>
          <w:szCs w:val="32"/>
        </w:rPr>
      </w:pPr>
      <w:r>
        <w:rPr>
          <w:rFonts w:ascii="仿宋" w:hAnsi="仿宋"/>
          <w:color w:val="FF0000"/>
          <w:szCs w:val="32"/>
        </w:rPr>
        <w:t>校外人员信息采集注意事项：</w:t>
      </w:r>
    </w:p>
    <w:p w14:paraId="206F3CAE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）人员信息中的电话请</w:t>
      </w:r>
      <w:r>
        <w:rPr>
          <w:rFonts w:ascii="仿宋" w:hAnsi="仿宋"/>
          <w:color w:val="FF0000"/>
          <w:szCs w:val="32"/>
        </w:rPr>
        <w:t>一定填写手机号码</w:t>
      </w:r>
      <w:r>
        <w:rPr>
          <w:rFonts w:ascii="仿宋" w:hAnsi="仿宋"/>
          <w:szCs w:val="32"/>
        </w:rPr>
        <w:t>（非座机），否则在税务系统申报个税时人员信息无法导入税务系统。</w:t>
      </w:r>
    </w:p>
    <w:p w14:paraId="227B4B36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）</w:t>
      </w:r>
      <w:r>
        <w:rPr>
          <w:rFonts w:ascii="仿宋" w:hAnsi="仿宋"/>
          <w:color w:val="FF0000"/>
          <w:szCs w:val="32"/>
        </w:rPr>
        <w:t>外国国籍校外人员</w:t>
      </w:r>
      <w:r>
        <w:rPr>
          <w:rFonts w:ascii="仿宋" w:hAnsi="仿宋"/>
          <w:szCs w:val="32"/>
        </w:rPr>
        <w:t>，请填写具体的出生地、国家名称、出入境等信息，否则在税务系统申报个税时人员信息无法导入税务系统。</w:t>
      </w:r>
    </w:p>
    <w:p w14:paraId="5F5B8868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）中文姓名中间不能出现空格，否则无法成功打款。</w:t>
      </w:r>
    </w:p>
    <w:p w14:paraId="3A05A41E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（</w:t>
      </w:r>
      <w:r>
        <w:rPr>
          <w:rFonts w:hint="eastAsia" w:ascii="仿宋" w:hAnsi="仿宋"/>
          <w:szCs w:val="32"/>
        </w:rPr>
        <w:t>4</w:t>
      </w:r>
      <w:r>
        <w:rPr>
          <w:rFonts w:ascii="仿宋" w:hAnsi="仿宋"/>
          <w:szCs w:val="32"/>
        </w:rPr>
        <w:t>）职业代码（未填写报账时会出现提示：</w:t>
      </w:r>
      <w:r>
        <w:rPr>
          <w:rFonts w:hint="eastAsia" w:ascii="仿宋" w:hAnsi="仿宋"/>
          <w:szCs w:val="32"/>
        </w:rPr>
        <w:t>请先在校外采集系统中更新该人员的职称信息</w:t>
      </w:r>
      <w:r>
        <w:rPr>
          <w:rFonts w:ascii="仿宋" w:hAnsi="仿宋"/>
          <w:szCs w:val="32"/>
        </w:rPr>
        <w:t>）、人员类别也要选择，否则信息不全无法报账。</w:t>
      </w:r>
    </w:p>
    <w:p w14:paraId="4B6641F2">
      <w:pPr>
        <w:spacing w:line="540" w:lineRule="exact"/>
        <w:ind w:firstLine="640" w:firstLineChars="200"/>
        <w:rPr>
          <w:rFonts w:ascii="仿宋" w:hAnsi="仿宋"/>
          <w:color w:val="FF0000"/>
          <w:szCs w:val="32"/>
        </w:rPr>
      </w:pPr>
      <w:r>
        <w:rPr>
          <w:rFonts w:ascii="仿宋" w:hAnsi="仿宋"/>
          <w:color w:val="FF0000"/>
          <w:szCs w:val="32"/>
        </w:rPr>
        <w:t>人员信息修改：</w:t>
      </w:r>
    </w:p>
    <w:p w14:paraId="4AB2453D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点下图中</w:t>
      </w:r>
      <w:r>
        <w:rPr>
          <w:rFonts w:ascii="仿宋" w:hAnsi="仿宋"/>
          <w:b/>
          <w:color w:val="FF0000"/>
          <w:szCs w:val="32"/>
        </w:rPr>
        <w:t>红色方框</w:t>
      </w:r>
      <w:r>
        <w:rPr>
          <w:rFonts w:ascii="仿宋" w:hAnsi="仿宋"/>
          <w:szCs w:val="32"/>
        </w:rPr>
        <w:t>圈出的地方可以修改相应的信息（</w:t>
      </w:r>
      <w:r>
        <w:rPr>
          <w:rFonts w:hint="eastAsia" w:ascii="仿宋" w:hAnsi="仿宋"/>
          <w:szCs w:val="32"/>
        </w:rPr>
        <w:t>3个部分</w:t>
      </w:r>
      <w:r>
        <w:rPr>
          <w:rFonts w:ascii="仿宋" w:hAnsi="仿宋"/>
          <w:szCs w:val="32"/>
        </w:rPr>
        <w:t>）。</w:t>
      </w:r>
    </w:p>
    <w:p w14:paraId="323D1F35">
      <w:pPr>
        <w:rPr>
          <w:rFonts w:ascii="仿宋" w:hAnsi="仿宋"/>
          <w:color w:val="FF0000"/>
          <w:szCs w:val="32"/>
        </w:rPr>
      </w:pPr>
      <w:r>
        <w:drawing>
          <wp:inline distT="0" distB="0" distL="0" distR="0">
            <wp:extent cx="5543550" cy="3994785"/>
            <wp:effectExtent l="0" t="0" r="0" b="571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9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655F08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二、校外人员劳务发放录入</w:t>
      </w:r>
    </w:p>
    <w:p w14:paraId="156745B2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第一步：发放类型及支付选择</w:t>
      </w:r>
    </w:p>
    <w:p w14:paraId="78CF54D9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点击“校外人员劳务申报发放录入</w:t>
      </w:r>
      <w:r>
        <w:rPr>
          <w:rFonts w:hint="eastAsia" w:ascii="仿宋" w:hAnsi="仿宋"/>
          <w:szCs w:val="32"/>
        </w:rPr>
        <w:t>-单</w:t>
      </w:r>
      <w:r>
        <w:rPr>
          <w:rFonts w:ascii="仿宋" w:hAnsi="仿宋"/>
          <w:szCs w:val="32"/>
        </w:rPr>
        <w:t>”，选择要发放的类型，如“劳务费”，点击“填写申报表”进入填写页面，如图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8。</w:t>
      </w:r>
    </w:p>
    <w:p w14:paraId="5A81AD0C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46725" cy="2115820"/>
            <wp:effectExtent l="0" t="0" r="15875" b="177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58014" cy="211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428C8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图18</w:t>
      </w:r>
    </w:p>
    <w:p w14:paraId="3FBA0E0E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在“发放类型选择”中可以更改发放类型，点击右侧“帮助”可出现报销填写说明，如图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9</w:t>
      </w:r>
      <w:r>
        <w:rPr>
          <w:rFonts w:hint="eastAsia" w:ascii="仿宋" w:hAnsi="仿宋"/>
          <w:szCs w:val="32"/>
        </w:rPr>
        <w:t>。</w:t>
      </w:r>
    </w:p>
    <w:p w14:paraId="1DC73C24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21020" cy="1176020"/>
            <wp:effectExtent l="0" t="0" r="0" b="508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7"/>
                    <a:srcRect r="31689" b="63295"/>
                    <a:stretch>
                      <a:fillRect/>
                    </a:stretch>
                  </pic:blipFill>
                  <pic:spPr>
                    <a:xfrm>
                      <a:off x="0" y="0"/>
                      <a:ext cx="5690258" cy="11908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9720B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</w:t>
      </w:r>
      <w:r>
        <w:rPr>
          <w:rFonts w:hint="eastAsia" w:ascii="仿宋" w:hAnsi="仿宋"/>
          <w:b/>
          <w:bCs/>
          <w:sz w:val="21"/>
          <w:szCs w:val="21"/>
        </w:rPr>
        <w:t>1</w:t>
      </w:r>
      <w:r>
        <w:rPr>
          <w:rFonts w:ascii="仿宋" w:hAnsi="仿宋"/>
          <w:b/>
          <w:bCs/>
          <w:sz w:val="21"/>
          <w:szCs w:val="21"/>
        </w:rPr>
        <w:t>9</w:t>
      </w:r>
    </w:p>
    <w:p w14:paraId="6557A057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第二步：经费项目选择</w:t>
      </w:r>
    </w:p>
    <w:p w14:paraId="34F9EB80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97525" cy="1896745"/>
            <wp:effectExtent l="0" t="0" r="3175" b="825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rcRect r="32510" b="41444"/>
                    <a:stretch>
                      <a:fillRect/>
                    </a:stretch>
                  </pic:blipFill>
                  <pic:spPr>
                    <a:xfrm>
                      <a:off x="0" y="0"/>
                      <a:ext cx="5647679" cy="1913756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721F6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图20</w:t>
      </w:r>
    </w:p>
    <w:p w14:paraId="26BD06F6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点击“经费选择”可以选择具体项目，点击对应经费后点“经费选择”回到主界面，如图21；</w:t>
      </w:r>
    </w:p>
    <w:p w14:paraId="4EC7BEF1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97525" cy="2368550"/>
            <wp:effectExtent l="0" t="0" r="317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770" cy="237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FC7B6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图21</w:t>
      </w:r>
    </w:p>
    <w:p w14:paraId="5B9B7992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点击“清空经费”将清空选择的项目信息；</w:t>
      </w:r>
    </w:p>
    <w:p w14:paraId="091EAD84">
      <w:pPr>
        <w:spacing w:line="54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3.</w:t>
      </w:r>
      <w:r>
        <w:rPr>
          <w:rFonts w:ascii="仿宋" w:hAnsi="仿宋"/>
          <w:szCs w:val="32"/>
        </w:rPr>
        <w:t>点击“</w:t>
      </w:r>
      <w:r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hint="eastAsia" w:ascii="仿宋" w:hAnsi="仿宋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hint="eastAsia" w:ascii="仿宋" w:hAnsi="仿宋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hint="eastAsia" w:ascii="仿宋" w:hAnsi="仿宋"/>
          <w:szCs w:val="32"/>
        </w:rPr>
        <w:t>，并将</w:t>
      </w:r>
      <w:r>
        <w:rPr>
          <w:rFonts w:hint="eastAsia" w:ascii="仿宋" w:hAnsi="仿宋"/>
          <w:color w:val="FF0000"/>
          <w:szCs w:val="32"/>
        </w:rPr>
        <w:t>已填写但未报销</w:t>
      </w:r>
      <w:r>
        <w:rPr>
          <w:rFonts w:hint="eastAsia" w:ascii="仿宋" w:hAnsi="仿宋"/>
          <w:szCs w:val="32"/>
        </w:rPr>
        <w:t>的单据在“</w:t>
      </w:r>
      <w:r>
        <w:rPr>
          <w:rFonts w:ascii="仿宋" w:hAnsi="仿宋"/>
          <w:szCs w:val="32"/>
        </w:rPr>
        <w:t>校外人员劳务申报发放录入</w:t>
      </w:r>
      <w:r>
        <w:rPr>
          <w:rFonts w:hint="eastAsia" w:ascii="仿宋" w:hAnsi="仿宋"/>
          <w:szCs w:val="32"/>
        </w:rPr>
        <w:t>-单”中选择对应年、月后删除，如图2</w:t>
      </w:r>
      <w:r>
        <w:rPr>
          <w:rFonts w:ascii="仿宋" w:hAnsi="仿宋"/>
          <w:szCs w:val="32"/>
        </w:rPr>
        <w:t>2，“已提交”状态的即为未报销的单据，</w:t>
      </w:r>
      <w:r>
        <w:rPr>
          <w:rFonts w:hint="eastAsia" w:ascii="仿宋" w:hAnsi="仿宋"/>
          <w:szCs w:val="32"/>
        </w:rPr>
        <w:t>已填写但未报销的单据会占用额度。</w:t>
      </w:r>
    </w:p>
    <w:p w14:paraId="133B4B8F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2284095"/>
            <wp:effectExtent l="0" t="0" r="0" b="190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59A83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图22</w:t>
      </w:r>
    </w:p>
    <w:p w14:paraId="79A7F59C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第三步：人员明细填报</w:t>
      </w:r>
    </w:p>
    <w:p w14:paraId="330D3F68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481955" cy="2186940"/>
            <wp:effectExtent l="0" t="0" r="444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rcRect r="16228" b="2306"/>
                    <a:stretch>
                      <a:fillRect/>
                    </a:stretch>
                  </pic:blipFill>
                  <pic:spPr>
                    <a:xfrm>
                      <a:off x="0" y="0"/>
                      <a:ext cx="5482400" cy="21869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C6C5A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图23</w:t>
      </w:r>
    </w:p>
    <w:p w14:paraId="2E609F90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人员查询：查找存在于</w:t>
      </w:r>
      <w:r>
        <w:rPr>
          <w:rFonts w:hint="eastAsia" w:ascii="仿宋" w:hAnsi="仿宋"/>
          <w:szCs w:val="32"/>
        </w:rPr>
        <w:t>申报</w:t>
      </w:r>
      <w:r>
        <w:rPr>
          <w:rFonts w:ascii="仿宋" w:hAnsi="仿宋"/>
          <w:szCs w:val="32"/>
        </w:rPr>
        <w:t>系统中的校外人员并自动带入人员信息，若人员信息有误，教职工可在“人员信息采集”中修改；查找图示如图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4，检索出人员信息后勾选，然后点击“选择”。</w:t>
      </w:r>
    </w:p>
    <w:p w14:paraId="0AB32D36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525770" cy="219202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42432" cy="219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EBB42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图24</w:t>
      </w:r>
    </w:p>
    <w:p w14:paraId="6234B9B9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hint="eastAsia" w:ascii="仿宋" w:hAnsi="仿宋"/>
          <w:szCs w:val="32"/>
        </w:rPr>
        <w:t>行：选中填写的具体行，点击删除；</w:t>
      </w:r>
    </w:p>
    <w:p w14:paraId="5A682E79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3.</w:t>
      </w:r>
      <w:r>
        <w:rPr>
          <w:rFonts w:ascii="仿宋" w:hAnsi="仿宋"/>
          <w:szCs w:val="32"/>
        </w:rPr>
        <w:t>导出：将填写的报销信息导出为表格；</w:t>
      </w:r>
    </w:p>
    <w:p w14:paraId="45E26F7E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4.</w:t>
      </w:r>
      <w:r>
        <w:rPr>
          <w:rFonts w:ascii="仿宋" w:hAnsi="仿宋"/>
          <w:szCs w:val="32"/>
        </w:rPr>
        <w:t>校外模板导出：将模板导出后直接在模板中填写报销人员信息，填写完成后“导入”即可；</w:t>
      </w:r>
    </w:p>
    <w:p w14:paraId="35AF365D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5.</w:t>
      </w:r>
      <w:r>
        <w:rPr>
          <w:rFonts w:ascii="仿宋" w:hAnsi="仿宋"/>
          <w:szCs w:val="32"/>
        </w:rPr>
        <w:t>模板存取：录入信息后，如果需要将当前发放信息保存为模板，可点击“临时保存”进行保存；</w:t>
      </w:r>
    </w:p>
    <w:p w14:paraId="5A1E4152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6.</w:t>
      </w:r>
      <w:r>
        <w:rPr>
          <w:rFonts w:ascii="仿宋" w:hAnsi="仿宋"/>
          <w:szCs w:val="32"/>
        </w:rPr>
        <w:t>备注：填写报销摘要；</w:t>
      </w:r>
    </w:p>
    <w:p w14:paraId="1184C721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7.</w:t>
      </w:r>
      <w:r>
        <w:rPr>
          <w:rFonts w:ascii="仿宋" w:hAnsi="仿宋"/>
          <w:szCs w:val="32"/>
        </w:rPr>
        <w:t>经办人：填写报销单据的经办人员；</w:t>
      </w:r>
    </w:p>
    <w:p w14:paraId="3C7910CC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8.</w:t>
      </w:r>
      <w:r>
        <w:rPr>
          <w:rFonts w:ascii="仿宋" w:hAnsi="仿宋"/>
          <w:szCs w:val="32"/>
        </w:rPr>
        <w:t>电话：经办人员电话；</w:t>
      </w:r>
    </w:p>
    <w:p w14:paraId="1301BEA2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第四步：提交审批</w:t>
      </w:r>
    </w:p>
    <w:p w14:paraId="322DB674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</w:t>
      </w:r>
      <w:r>
        <w:rPr>
          <w:rFonts w:hint="eastAsia" w:ascii="仿宋" w:hAnsi="仿宋"/>
          <w:szCs w:val="32"/>
        </w:rPr>
        <w:t>下</w:t>
      </w:r>
      <w:r>
        <w:rPr>
          <w:rFonts w:ascii="仿宋" w:hAnsi="仿宋"/>
          <w:szCs w:val="32"/>
        </w:rPr>
        <w:t>一步：获取审批流程”，即可看到审批</w:t>
      </w:r>
      <w:r>
        <w:rPr>
          <w:rFonts w:hint="eastAsia" w:ascii="仿宋" w:hAnsi="仿宋"/>
          <w:szCs w:val="32"/>
        </w:rPr>
        <w:t>人，上传附件后点击“提交审批”，即提交成功</w:t>
      </w:r>
      <w:r>
        <w:rPr>
          <w:rFonts w:ascii="仿宋" w:hAnsi="仿宋"/>
          <w:szCs w:val="32"/>
        </w:rPr>
        <w:t>，提交成功后自动跳转到管理页面。</w:t>
      </w:r>
    </w:p>
    <w:p w14:paraId="29047E12">
      <w:pPr>
        <w:spacing w:line="580" w:lineRule="exact"/>
        <w:ind w:firstLine="643" w:firstLineChars="200"/>
        <w:rPr>
          <w:rFonts w:ascii="仿宋" w:hAnsi="仿宋"/>
          <w:b/>
          <w:color w:val="FF0000"/>
          <w:szCs w:val="32"/>
        </w:rPr>
      </w:pPr>
      <w:r>
        <w:rPr>
          <w:rFonts w:ascii="仿宋" w:hAnsi="仿宋"/>
          <w:b/>
          <w:color w:val="FF0000"/>
          <w:szCs w:val="32"/>
        </w:rPr>
        <w:t>注意：</w:t>
      </w:r>
      <w:r>
        <w:rPr>
          <w:rFonts w:hint="eastAsia" w:ascii="仿宋" w:hAnsi="仿宋"/>
          <w:b/>
          <w:color w:val="FF0000"/>
          <w:szCs w:val="32"/>
        </w:rPr>
        <w:t>1、</w:t>
      </w:r>
      <w:r>
        <w:rPr>
          <w:rFonts w:ascii="仿宋" w:hAnsi="仿宋"/>
          <w:b/>
          <w:color w:val="FF0000"/>
          <w:szCs w:val="32"/>
        </w:rPr>
        <w:t>如果“提交审批”按钮未出现，向上滑动页面后再向下拉，即可出现。</w:t>
      </w:r>
    </w:p>
    <w:p w14:paraId="0F4428F6">
      <w:pPr>
        <w:spacing w:line="580" w:lineRule="exact"/>
        <w:ind w:firstLine="643" w:firstLineChars="200"/>
        <w:rPr>
          <w:rFonts w:ascii="仿宋" w:hAnsi="仿宋"/>
          <w:b/>
          <w:color w:val="FF0000"/>
          <w:szCs w:val="32"/>
        </w:rPr>
      </w:pPr>
      <w:r>
        <w:rPr>
          <w:rFonts w:ascii="仿宋" w:hAnsi="仿宋"/>
          <w:b/>
          <w:color w:val="FF0000"/>
          <w:szCs w:val="32"/>
        </w:rPr>
        <w:t>2、如果项目负责人同时在学院及职能部门任职，审批流程需自己选择，点击“更换审批人”可自己选择审批人。</w:t>
      </w:r>
    </w:p>
    <w:p w14:paraId="23D0682C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656715"/>
            <wp:effectExtent l="0" t="0" r="0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34E08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415734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415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7CAD">
      <w:pPr>
        <w:spacing w:line="580" w:lineRule="exact"/>
        <w:ind w:firstLine="643" w:firstLineChars="200"/>
        <w:rPr>
          <w:rFonts w:ascii="仿宋" w:hAnsi="仿宋"/>
          <w:b/>
          <w:color w:val="FF0000"/>
          <w:szCs w:val="32"/>
        </w:rPr>
      </w:pPr>
    </w:p>
    <w:p w14:paraId="5FD853A8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337693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C9880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图25</w:t>
      </w:r>
    </w:p>
    <w:p w14:paraId="2470910E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069975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2A624">
      <w:pPr>
        <w:jc w:val="center"/>
        <w:rPr>
          <w:rFonts w:ascii="仿宋" w:hAnsi="仿宋"/>
          <w:b/>
          <w:bCs/>
          <w:szCs w:val="32"/>
        </w:rPr>
      </w:pPr>
      <w:r>
        <w:rPr>
          <w:rFonts w:ascii="仿宋" w:hAnsi="仿宋"/>
          <w:b/>
          <w:bCs/>
          <w:sz w:val="21"/>
          <w:szCs w:val="21"/>
        </w:rPr>
        <w:t>图26</w:t>
      </w:r>
    </w:p>
    <w:p w14:paraId="00CA51BA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三、校外人员劳务申报发放管理-单</w:t>
      </w:r>
    </w:p>
    <w:p w14:paraId="3BE2FD31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>
        <w:rPr>
          <w:rFonts w:hint="eastAsia" w:ascii="仿宋" w:hAnsi="仿宋"/>
          <w:szCs w:val="32"/>
        </w:rPr>
        <w:t>校外人员劳务申报发放管理-单</w:t>
      </w:r>
      <w:r>
        <w:rPr>
          <w:rFonts w:ascii="仿宋" w:hAnsi="仿宋"/>
          <w:szCs w:val="32"/>
        </w:rPr>
        <w:t>”对填写了的报销单进行管理，如果有</w:t>
      </w:r>
      <w:r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hint="eastAsia" w:ascii="仿宋" w:hAnsi="仿宋"/>
          <w:szCs w:val="32"/>
        </w:rPr>
        <w:t>此</w:t>
      </w:r>
      <w:r>
        <w:rPr>
          <w:rFonts w:ascii="仿宋" w:hAnsi="仿宋"/>
          <w:szCs w:val="32"/>
        </w:rPr>
        <w:t>时间段内的报销单据，如图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7中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022年</w:t>
      </w:r>
      <w:r>
        <w:rPr>
          <w:rFonts w:hint="eastAsia" w:ascii="仿宋" w:hAnsi="仿宋"/>
          <w:szCs w:val="32"/>
        </w:rPr>
        <w:t>1</w:t>
      </w:r>
      <w:r>
        <w:rPr>
          <w:rFonts w:ascii="仿宋" w:hAnsi="仿宋"/>
          <w:szCs w:val="32"/>
        </w:rPr>
        <w:t>2月的报销单，需要选择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022年、12月才能出现，</w:t>
      </w:r>
      <w:r>
        <w:rPr>
          <w:rFonts w:hint="eastAsia" w:ascii="仿宋" w:hAnsi="仿宋"/>
          <w:szCs w:val="32"/>
        </w:rPr>
        <w:t>未</w:t>
      </w:r>
      <w:r>
        <w:rPr>
          <w:rFonts w:ascii="仿宋" w:hAnsi="仿宋"/>
          <w:szCs w:val="32"/>
        </w:rPr>
        <w:t>制单的单据才</w:t>
      </w:r>
      <w:r>
        <w:rPr>
          <w:rFonts w:hint="eastAsia" w:ascii="仿宋" w:hAnsi="仿宋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>
        <w:rPr>
          <w:rFonts w:hint="eastAsia" w:ascii="仿宋" w:hAnsi="仿宋"/>
          <w:color w:val="FF0000"/>
          <w:szCs w:val="32"/>
        </w:rPr>
        <w:t>不可删除</w:t>
      </w:r>
      <w:r>
        <w:rPr>
          <w:rFonts w:hint="eastAsia" w:ascii="仿宋" w:hAnsi="仿宋"/>
          <w:szCs w:val="32"/>
        </w:rPr>
        <w:t>。</w:t>
      </w:r>
    </w:p>
    <w:p w14:paraId="5495EF4E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94680" cy="1613535"/>
            <wp:effectExtent l="0" t="0" r="1270" b="571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26962" cy="1623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32CC3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图27</w:t>
      </w:r>
    </w:p>
    <w:p w14:paraId="129E291B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点击右侧“更多操作”可对报销单进行“修改”、“打印”、“复制”、“删除”操作，如图28。</w:t>
      </w:r>
    </w:p>
    <w:p w14:paraId="7AA21138">
      <w:pPr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drawing>
          <wp:inline distT="0" distB="0" distL="0" distR="0">
            <wp:extent cx="5676900" cy="189039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20873" cy="1905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98A3F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图28</w:t>
      </w:r>
    </w:p>
    <w:p w14:paraId="7C8BDCDB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hint="eastAsia" w:ascii="仿宋_GB2312" w:eastAsia="仿宋_GB2312" w:hAnsiTheme="majorEastAsia"/>
          <w:b/>
          <w:sz w:val="44"/>
          <w:szCs w:val="44"/>
        </w:rPr>
        <w:t>第四节 学生劳务申报</w:t>
      </w:r>
    </w:p>
    <w:p w14:paraId="053B476F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/>
        </w:rPr>
        <w:t>提醒：</w:t>
      </w:r>
      <w:r>
        <w:rPr>
          <w:rFonts w:hint="eastAsia" w:ascii="仿宋_GB2312" w:hAnsi="仿宋_GB2312" w:eastAsia="仿宋_GB2312"/>
          <w:szCs w:val="32"/>
        </w:rPr>
        <w:t>网上报销及收入申报系统添加银行卡需要学生本人自行添加。</w:t>
      </w:r>
    </w:p>
    <w:p w14:paraId="4874BE36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 w:ascii="仿宋_GB2312" w:hAnsi="仿宋_GB2312" w:eastAsia="仿宋_GB2312"/>
          <w:szCs w:val="32"/>
        </w:rPr>
        <w:t>操作方法可在计划财务处网站——服务指南模块——“学生财务报销添加银行卡、手机号操作指南”查看。</w:t>
      </w:r>
    </w:p>
    <w:p w14:paraId="6CDCD1B7">
      <w:pPr>
        <w:spacing w:line="560" w:lineRule="exact"/>
        <w:ind w:firstLine="640" w:firstLineChars="200"/>
      </w:pPr>
      <w:r>
        <w:rPr>
          <w:rFonts w:ascii="仿宋_GB2312" w:hAnsi="仿宋_GB2312" w:eastAsia="仿宋_GB2312"/>
          <w:szCs w:val="32"/>
        </w:rPr>
        <w:t>收入申报系统如着急使用可以自行在填单页面“银行卡号（手录）”处录入。</w:t>
      </w:r>
    </w:p>
    <w:p w14:paraId="14407576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一、学生劳务发放录入</w:t>
      </w:r>
      <w: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  <w:t>-单</w:t>
      </w:r>
    </w:p>
    <w:p w14:paraId="1572363D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第一步：发放类型及支付选择</w:t>
      </w:r>
    </w:p>
    <w:p w14:paraId="7D636F97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点击左侧“学生劳务申报”——“</w:t>
      </w:r>
      <w:r>
        <w:rPr>
          <w:rFonts w:hint="eastAsia" w:ascii="仿宋" w:hAnsi="仿宋"/>
          <w:szCs w:val="32"/>
        </w:rPr>
        <w:t>学生</w:t>
      </w:r>
      <w:r>
        <w:rPr>
          <w:rFonts w:ascii="仿宋" w:hAnsi="仿宋"/>
          <w:szCs w:val="32"/>
        </w:rPr>
        <w:t>劳务发放</w:t>
      </w:r>
      <w:r>
        <w:rPr>
          <w:rFonts w:hint="eastAsia" w:ascii="仿宋" w:hAnsi="仿宋"/>
          <w:szCs w:val="32"/>
        </w:rPr>
        <w:t>录入</w:t>
      </w:r>
      <w:r>
        <w:rPr>
          <w:rFonts w:ascii="仿宋" w:hAnsi="仿宋"/>
          <w:szCs w:val="32"/>
        </w:rPr>
        <w:t>”，选择发放类型，校内学生劳务发放请选第</w:t>
      </w:r>
      <w:r>
        <w:rPr>
          <w:rFonts w:hint="eastAsia" w:ascii="仿宋" w:hAnsi="仿宋"/>
          <w:szCs w:val="32"/>
        </w:rPr>
        <w:t>7——学生助研及助教。</w:t>
      </w:r>
    </w:p>
    <w:p w14:paraId="61459E9D">
      <w:pPr>
        <w:jc w:val="center"/>
      </w:pPr>
      <w:r>
        <w:drawing>
          <wp:inline distT="0" distB="0" distL="0" distR="0">
            <wp:extent cx="5543550" cy="3515360"/>
            <wp:effectExtent l="0" t="0" r="0" b="889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51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8177C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第二步：经费项目选择</w:t>
      </w:r>
    </w:p>
    <w:p w14:paraId="73E04402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点击“经费选择”可以选择具体的报销项目，点击对应经费后点“经费选择”回到主界面，如图</w:t>
      </w:r>
      <w:r>
        <w:rPr>
          <w:rFonts w:hint="eastAsia" w:ascii="仿宋" w:hAnsi="仿宋"/>
          <w:szCs w:val="32"/>
        </w:rPr>
        <w:t>6</w:t>
      </w:r>
      <w:r>
        <w:rPr>
          <w:rFonts w:ascii="仿宋" w:hAnsi="仿宋"/>
          <w:szCs w:val="32"/>
        </w:rPr>
        <w:t>。</w:t>
      </w:r>
    </w:p>
    <w:p w14:paraId="5602AB5A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2</w:t>
      </w:r>
      <w:r>
        <w:rPr>
          <w:rFonts w:hint="eastAsia" w:ascii="仿宋" w:hAnsi="仿宋"/>
          <w:szCs w:val="32"/>
        </w:rPr>
        <w:t>.</w:t>
      </w:r>
      <w:r>
        <w:rPr>
          <w:rFonts w:ascii="仿宋" w:hAnsi="仿宋"/>
          <w:szCs w:val="32"/>
        </w:rPr>
        <w:t>点击“</w:t>
      </w:r>
      <w:r>
        <w:rPr>
          <w:rFonts w:ascii="仿宋" w:hAnsi="仿宋"/>
          <w:color w:val="FF0000"/>
          <w:szCs w:val="32"/>
        </w:rPr>
        <w:t>余额占用查询</w:t>
      </w:r>
      <w:r>
        <w:rPr>
          <w:rFonts w:ascii="仿宋" w:hAnsi="仿宋"/>
          <w:szCs w:val="32"/>
        </w:rPr>
        <w:t>”可查询此项目已填写了的</w:t>
      </w:r>
      <w:r>
        <w:rPr>
          <w:rFonts w:hint="eastAsia" w:ascii="仿宋" w:hAnsi="仿宋"/>
          <w:szCs w:val="32"/>
        </w:rPr>
        <w:t>报销</w:t>
      </w:r>
      <w:r>
        <w:rPr>
          <w:rFonts w:ascii="仿宋" w:hAnsi="仿宋"/>
          <w:szCs w:val="32"/>
        </w:rPr>
        <w:t>单，提交单据时</w:t>
      </w:r>
      <w:r>
        <w:rPr>
          <w:rFonts w:hint="eastAsia" w:ascii="仿宋" w:hAnsi="仿宋"/>
          <w:szCs w:val="32"/>
        </w:rPr>
        <w:t>如出现“余额不足”的提示，请点击查看</w:t>
      </w:r>
      <w:r>
        <w:rPr>
          <w:rFonts w:ascii="仿宋" w:hAnsi="仿宋"/>
          <w:szCs w:val="32"/>
        </w:rPr>
        <w:t>“余额占用查询”</w:t>
      </w:r>
      <w:r>
        <w:rPr>
          <w:rFonts w:hint="eastAsia" w:ascii="仿宋" w:hAnsi="仿宋"/>
          <w:szCs w:val="32"/>
        </w:rPr>
        <w:t>，并将</w:t>
      </w:r>
      <w:r>
        <w:rPr>
          <w:rFonts w:hint="eastAsia" w:ascii="仿宋" w:hAnsi="仿宋"/>
          <w:color w:val="FF0000"/>
          <w:szCs w:val="32"/>
        </w:rPr>
        <w:t>已填写但未报销</w:t>
      </w:r>
      <w:r>
        <w:rPr>
          <w:rFonts w:hint="eastAsia" w:ascii="仿宋" w:hAnsi="仿宋"/>
          <w:szCs w:val="32"/>
        </w:rPr>
        <w:t>的单据在“学生劳务发放管理-单</w:t>
      </w:r>
      <w:bookmarkStart w:id="7" w:name="_GoBack"/>
      <w:bookmarkEnd w:id="7"/>
      <w:r>
        <w:rPr>
          <w:rFonts w:hint="eastAsia" w:ascii="仿宋" w:hAnsi="仿宋"/>
          <w:szCs w:val="32"/>
        </w:rPr>
        <w:t>”中</w:t>
      </w:r>
      <w:r>
        <w:rPr>
          <w:rFonts w:hint="eastAsia" w:ascii="仿宋" w:hAnsi="仿宋"/>
          <w:color w:val="FF0000"/>
          <w:szCs w:val="32"/>
        </w:rPr>
        <w:t>选择对应年、月</w:t>
      </w:r>
      <w:r>
        <w:rPr>
          <w:rFonts w:hint="eastAsia" w:ascii="仿宋" w:hAnsi="仿宋"/>
          <w:szCs w:val="32"/>
        </w:rPr>
        <w:t>后删除，已填写但未报销的单据会占用额度。</w:t>
      </w:r>
    </w:p>
    <w:p w14:paraId="6B5C11C2">
      <w:pP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drawing>
          <wp:inline distT="0" distB="0" distL="0" distR="0">
            <wp:extent cx="5543550" cy="2284095"/>
            <wp:effectExtent l="0" t="0" r="0" b="190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8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22BA8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第三步：人员明细填报</w:t>
      </w:r>
    </w:p>
    <w:p w14:paraId="3FA980BA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1.</w:t>
      </w:r>
      <w:r>
        <w:rPr>
          <w:rFonts w:ascii="仿宋" w:hAnsi="仿宋"/>
          <w:szCs w:val="32"/>
        </w:rPr>
        <w:t>新增行：添加多个人员时新增一行填写人员信息；</w:t>
      </w:r>
    </w:p>
    <w:p w14:paraId="559A8A82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2.</w:t>
      </w:r>
      <w:r>
        <w:rPr>
          <w:rFonts w:ascii="仿宋" w:hAnsi="仿宋"/>
          <w:szCs w:val="32"/>
        </w:rPr>
        <w:t>删除</w:t>
      </w:r>
      <w:r>
        <w:rPr>
          <w:rFonts w:hint="eastAsia" w:ascii="仿宋" w:hAnsi="仿宋"/>
          <w:szCs w:val="32"/>
        </w:rPr>
        <w:t>行：选中填写的具体行，左侧勾选之后点击上方的“删除”按钮；也可直接点击右侧的“删除”按钮删除。</w:t>
      </w:r>
    </w:p>
    <w:p w14:paraId="758F3AD7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.人员选择：可以批量选择学生</w:t>
      </w:r>
    </w:p>
    <w:p w14:paraId="6ABB43A1">
      <w:pPr>
        <w:spacing w:line="520" w:lineRule="exact"/>
        <w:ind w:firstLine="643" w:firstLineChars="200"/>
        <w:rPr>
          <w:rFonts w:ascii="仿宋" w:hAnsi="仿宋"/>
          <w:b/>
          <w:color w:val="FF0000"/>
          <w:szCs w:val="32"/>
        </w:rPr>
      </w:pPr>
      <w:r>
        <w:rPr>
          <w:rFonts w:ascii="仿宋" w:hAnsi="仿宋"/>
          <w:b/>
          <w:color w:val="FF0000"/>
          <w:szCs w:val="32"/>
        </w:rPr>
        <w:t>注意：入学年度一定要正确！</w:t>
      </w:r>
    </w:p>
    <w:p w14:paraId="588C4707">
      <w:pPr>
        <w:rPr>
          <w:rFonts w:ascii="仿宋" w:hAnsi="仿宋"/>
          <w:b/>
          <w:szCs w:val="32"/>
        </w:rPr>
      </w:pPr>
      <w:r>
        <w:drawing>
          <wp:inline distT="0" distB="0" distL="0" distR="0">
            <wp:extent cx="5543550" cy="793115"/>
            <wp:effectExtent l="0" t="0" r="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9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70EB9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按搜索条件可搜索出学生，多选后“选择”确定。</w:t>
      </w:r>
    </w:p>
    <w:p w14:paraId="6C83FD6C">
      <w:pPr>
        <w:rPr>
          <w:rFonts w:ascii="仿宋" w:hAnsi="仿宋"/>
          <w:b/>
          <w:szCs w:val="32"/>
        </w:rPr>
      </w:pPr>
      <w:r>
        <w:drawing>
          <wp:inline distT="0" distB="0" distL="0" distR="0">
            <wp:extent cx="5543550" cy="27285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72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884FF4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第四步：提交审批</w:t>
      </w:r>
    </w:p>
    <w:p w14:paraId="6621EABE">
      <w:pPr>
        <w:spacing w:line="580" w:lineRule="exact"/>
        <w:ind w:firstLine="640" w:firstLineChars="20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在填好报销金额后，点击第四步的“保存”，“保存”后还可继续修改。</w:t>
      </w:r>
    </w:p>
    <w:p w14:paraId="189878D6">
      <w:pPr>
        <w:spacing w:line="580" w:lineRule="exact"/>
        <w:ind w:firstLine="640" w:firstLineChars="20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 “</w:t>
      </w:r>
      <w:r>
        <w:rPr>
          <w:rFonts w:ascii="仿宋" w:hAnsi="仿宋"/>
          <w:color w:val="FF0000"/>
          <w:szCs w:val="32"/>
        </w:rPr>
        <w:t>下一步：获取审批流程</w:t>
      </w:r>
      <w:r>
        <w:rPr>
          <w:rFonts w:ascii="仿宋" w:hAnsi="仿宋"/>
          <w:szCs w:val="32"/>
        </w:rPr>
        <w:t>”，可</w:t>
      </w:r>
      <w:r>
        <w:rPr>
          <w:rFonts w:hint="eastAsia" w:ascii="仿宋" w:hAnsi="仿宋"/>
          <w:szCs w:val="32"/>
        </w:rPr>
        <w:t>看到审批人，在“上传附件”处可以上传线上审批材料。</w:t>
      </w:r>
    </w:p>
    <w:p w14:paraId="6465854B">
      <w:pPr>
        <w:spacing w:line="580" w:lineRule="exact"/>
        <w:ind w:firstLine="640" w:firstLineChars="200"/>
        <w:jc w:val="left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点击“</w:t>
      </w:r>
      <w:r>
        <w:rPr>
          <w:rFonts w:ascii="仿宋" w:hAnsi="仿宋"/>
          <w:b/>
          <w:color w:val="FF0000"/>
          <w:szCs w:val="32"/>
        </w:rPr>
        <w:t>提交审批</w:t>
      </w:r>
      <w:r>
        <w:rPr>
          <w:rFonts w:ascii="仿宋" w:hAnsi="仿宋"/>
          <w:szCs w:val="32"/>
        </w:rPr>
        <w:t>”即为提交审批。</w:t>
      </w:r>
    </w:p>
    <w:p w14:paraId="0505161C">
      <w:pPr>
        <w:spacing w:line="580" w:lineRule="exact"/>
        <w:ind w:firstLine="643" w:firstLineChars="200"/>
        <w:rPr>
          <w:rFonts w:ascii="仿宋" w:hAnsi="仿宋"/>
          <w:b/>
          <w:color w:val="FF0000"/>
          <w:szCs w:val="32"/>
        </w:rPr>
      </w:pPr>
      <w:r>
        <w:rPr>
          <w:rFonts w:ascii="仿宋" w:hAnsi="仿宋"/>
          <w:b/>
          <w:color w:val="FF0000"/>
          <w:szCs w:val="32"/>
        </w:rPr>
        <w:t>注意：如果“提交审批”按钮未出现，向上滑动页面后再向下拉，即可出现。</w:t>
      </w:r>
    </w:p>
    <w:p w14:paraId="2FCD253B">
      <w:r>
        <w:drawing>
          <wp:inline distT="0" distB="0" distL="0" distR="0">
            <wp:extent cx="5543550" cy="2378710"/>
            <wp:effectExtent l="0" t="0" r="0" b="25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ABE11">
      <w:r>
        <w:drawing>
          <wp:inline distT="0" distB="0" distL="0" distR="0">
            <wp:extent cx="5543550" cy="3088005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8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4D6AD">
      <w:r>
        <w:drawing>
          <wp:inline distT="0" distB="0" distL="0" distR="0">
            <wp:extent cx="5543550" cy="1061720"/>
            <wp:effectExtent l="0" t="0" r="0" b="508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06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190A24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二 、</w:t>
      </w:r>
      <w:bookmarkStart w:id="0" w:name="OLE_LINK1"/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学生劳务发放管理</w:t>
      </w:r>
      <w: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  <w:t>-单</w:t>
      </w:r>
      <w:bookmarkEnd w:id="0"/>
    </w:p>
    <w:p w14:paraId="752B39A8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“</w:t>
      </w:r>
      <w:r>
        <w:rPr>
          <w:rFonts w:hint="eastAsia" w:ascii="仿宋" w:hAnsi="仿宋"/>
          <w:szCs w:val="32"/>
        </w:rPr>
        <w:t>学生劳务发放管理-单</w:t>
      </w:r>
      <w:r>
        <w:rPr>
          <w:rFonts w:ascii="仿宋" w:hAnsi="仿宋"/>
          <w:szCs w:val="32"/>
        </w:rPr>
        <w:t>”对填写了的报销单进行管理，如果有</w:t>
      </w:r>
      <w:r>
        <w:rPr>
          <w:rFonts w:ascii="仿宋" w:hAnsi="仿宋"/>
          <w:color w:val="FF0000"/>
          <w:szCs w:val="32"/>
        </w:rPr>
        <w:t>报销单要删除或修改</w:t>
      </w:r>
      <w:r>
        <w:rPr>
          <w:rFonts w:ascii="仿宋" w:hAnsi="仿宋"/>
          <w:szCs w:val="32"/>
        </w:rPr>
        <w:t>，请先</w:t>
      </w:r>
      <w:r>
        <w:rPr>
          <w:rFonts w:ascii="仿宋" w:hAnsi="仿宋"/>
          <w:color w:val="FF0000"/>
          <w:szCs w:val="32"/>
        </w:rPr>
        <w:t>选择年、月</w:t>
      </w:r>
      <w:r>
        <w:rPr>
          <w:rFonts w:ascii="仿宋" w:hAnsi="仿宋"/>
          <w:szCs w:val="32"/>
        </w:rPr>
        <w:t>，必须到对应年、月才能看到</w:t>
      </w:r>
      <w:r>
        <w:rPr>
          <w:rFonts w:hint="eastAsia" w:ascii="仿宋" w:hAnsi="仿宋"/>
          <w:szCs w:val="32"/>
        </w:rPr>
        <w:t>此</w:t>
      </w:r>
      <w:r>
        <w:rPr>
          <w:rFonts w:ascii="仿宋" w:hAnsi="仿宋"/>
          <w:szCs w:val="32"/>
        </w:rPr>
        <w:t>时间段内的报销单据，</w:t>
      </w:r>
      <w:r>
        <w:rPr>
          <w:rFonts w:hint="eastAsia" w:ascii="仿宋" w:hAnsi="仿宋"/>
          <w:szCs w:val="32"/>
        </w:rPr>
        <w:t>未</w:t>
      </w:r>
      <w:r>
        <w:rPr>
          <w:rFonts w:ascii="仿宋" w:hAnsi="仿宋"/>
          <w:szCs w:val="32"/>
        </w:rPr>
        <w:t>制单的单据才</w:t>
      </w:r>
      <w:r>
        <w:rPr>
          <w:rFonts w:hint="eastAsia" w:ascii="仿宋" w:hAnsi="仿宋"/>
          <w:color w:val="FF0000"/>
          <w:szCs w:val="32"/>
        </w:rPr>
        <w:t>可删除</w:t>
      </w:r>
      <w:r>
        <w:rPr>
          <w:rFonts w:ascii="仿宋" w:hAnsi="仿宋"/>
          <w:szCs w:val="32"/>
        </w:rPr>
        <w:t>，审核人、凭证号均有信息的单据为已制单报销的单据</w:t>
      </w:r>
      <w:r>
        <w:rPr>
          <w:rFonts w:hint="eastAsia" w:ascii="仿宋" w:hAnsi="仿宋"/>
          <w:color w:val="FF0000"/>
          <w:szCs w:val="32"/>
        </w:rPr>
        <w:t>不可删除</w:t>
      </w:r>
      <w:r>
        <w:rPr>
          <w:rFonts w:hint="eastAsia" w:ascii="仿宋" w:hAnsi="仿宋"/>
          <w:szCs w:val="32"/>
        </w:rPr>
        <w:t>。</w:t>
      </w:r>
    </w:p>
    <w:p w14:paraId="6370BBD1">
      <w:r>
        <w:drawing>
          <wp:inline distT="0" distB="0" distL="0" distR="0">
            <wp:extent cx="5543550" cy="2379980"/>
            <wp:effectExtent l="0" t="0" r="0" b="127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37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04FE8">
      <w:r>
        <w:drawing>
          <wp:inline distT="0" distB="0" distL="0" distR="0">
            <wp:extent cx="5543550" cy="1996440"/>
            <wp:effectExtent l="0" t="0" r="0" b="381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96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7DE2A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bookmarkStart w:id="1" w:name="OLE_LINK2"/>
      <w:bookmarkStart w:id="2" w:name="OLE_LINK3"/>
      <w:r>
        <w:rPr>
          <w:rFonts w:ascii="仿宋_GB2312" w:eastAsia="仿宋_GB2312" w:hAnsiTheme="majorEastAsia"/>
          <w:b/>
          <w:sz w:val="44"/>
          <w:szCs w:val="44"/>
        </w:rPr>
        <w:t>第四节</w:t>
      </w:r>
      <w:r>
        <w:rPr>
          <w:rFonts w:hint="eastAsia" w:ascii="仿宋_GB2312" w:eastAsia="仿宋_GB2312" w:hAnsiTheme="majorEastAsia"/>
          <w:b/>
          <w:sz w:val="44"/>
          <w:szCs w:val="44"/>
        </w:rPr>
        <w:t xml:space="preserve"> 挂起</w:t>
      </w:r>
      <w:r>
        <w:rPr>
          <w:rFonts w:ascii="仿宋_GB2312" w:eastAsia="仿宋_GB2312" w:hAnsiTheme="majorEastAsia"/>
          <w:b/>
          <w:sz w:val="44"/>
          <w:szCs w:val="44"/>
        </w:rPr>
        <w:t>单据</w:t>
      </w:r>
      <w:r>
        <w:rPr>
          <w:rFonts w:hint="eastAsia" w:ascii="仿宋_GB2312" w:eastAsia="仿宋_GB2312" w:hAnsiTheme="majorEastAsia"/>
          <w:b/>
          <w:sz w:val="44"/>
          <w:szCs w:val="44"/>
        </w:rPr>
        <w:t>材料补充</w:t>
      </w:r>
    </w:p>
    <w:bookmarkEnd w:id="1"/>
    <w:bookmarkEnd w:id="2"/>
    <w:p w14:paraId="4E406AB6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财务制单时挂起单据，教职工需根据财务审核意见补充报销材料，操作方法为：</w:t>
      </w:r>
    </w:p>
    <w:p w14:paraId="0C1DD069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进入申报系统，点击挂起单据材料补充 ——出现单据数据——点击“编辑附件”，上传附件——继续提交审批。</w:t>
      </w:r>
    </w:p>
    <w:p w14:paraId="2E129732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注意：挂起原因看不全，使用鼠标移动到“审核人错误原因”边框，往后拉，可显示原因（和</w:t>
      </w:r>
      <w:r>
        <w:rPr>
          <w:rFonts w:ascii="仿宋" w:hAnsi="仿宋"/>
          <w:szCs w:val="32"/>
        </w:rPr>
        <w:t>Excel</w:t>
      </w:r>
      <w:r>
        <w:rPr>
          <w:rFonts w:hint="eastAsia" w:ascii="仿宋" w:hAnsi="仿宋"/>
          <w:szCs w:val="32"/>
        </w:rPr>
        <w:t>表格操作一样）。</w:t>
      </w:r>
    </w:p>
    <w:p w14:paraId="237B2299">
      <w:pPr>
        <w:ind w:firstLine="562"/>
        <w:rPr>
          <w:rFonts w:ascii="宋体" w:hAnsi="宋体" w:eastAsia="仿宋_GB2312"/>
          <w:b/>
          <w:color w:val="FF0000"/>
          <w:kern w:val="0"/>
          <w:sz w:val="28"/>
          <w:szCs w:val="28"/>
        </w:rPr>
      </w:pPr>
      <w:r>
        <w:rPr>
          <w:rFonts w:hint="eastAsia" w:ascii="宋体" w:hAnsi="宋体"/>
          <w:b/>
          <w:color w:val="FF0000"/>
          <w:sz w:val="28"/>
          <w:szCs w:val="28"/>
        </w:rPr>
        <w:t>注意 ：财务处审核只能挂起一次，第一次挂起可以在“被挂起单据材料补充”中找到，如果重新提交后再次打回，就只能删除原单据后重新录入提交。</w:t>
      </w:r>
    </w:p>
    <w:p w14:paraId="7C38B4BB">
      <w:r>
        <w:drawing>
          <wp:inline distT="0" distB="0" distL="114300" distR="114300">
            <wp:extent cx="5273675" cy="1709420"/>
            <wp:effectExtent l="0" t="0" r="14605" b="1270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0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B37CAA">
      <w:r>
        <w:drawing>
          <wp:inline distT="0" distB="0" distL="114300" distR="114300">
            <wp:extent cx="5259705" cy="2435225"/>
            <wp:effectExtent l="0" t="0" r="13335" b="317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43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038E93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第五节</w:t>
      </w:r>
      <w:r>
        <w:rPr>
          <w:rFonts w:hint="eastAsia" w:ascii="仿宋_GB2312" w:eastAsia="仿宋_GB2312" w:hAnsiTheme="majorEastAsia"/>
          <w:b/>
          <w:sz w:val="44"/>
          <w:szCs w:val="44"/>
        </w:rPr>
        <w:t xml:space="preserve"> 科技成果转化减免报销</w:t>
      </w:r>
    </w:p>
    <w:p w14:paraId="53BDB46E">
      <w:pPr>
        <w:pStyle w:val="15"/>
        <w:widowControl/>
        <w:numPr>
          <w:ilvl w:val="0"/>
          <w:numId w:val="1"/>
        </w:numPr>
        <w:spacing w:line="600" w:lineRule="exact"/>
        <w:ind w:firstLineChars="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FF0000"/>
          <w:kern w:val="0"/>
          <w:sz w:val="36"/>
          <w:szCs w:val="36"/>
        </w:rPr>
        <w:t>校内教职工</w:t>
      </w:r>
    </w:p>
    <w:p w14:paraId="558444F8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在发放类型选择处选择“成果转化减免（一半免税）”，项目选</w:t>
      </w:r>
      <w:r>
        <w:rPr>
          <w:rFonts w:hint="eastAsia" w:ascii="仿宋" w:hAnsi="仿宋"/>
          <w:szCs w:val="32"/>
        </w:rPr>
        <w:t>0</w:t>
      </w:r>
      <w:r>
        <w:rPr>
          <w:rFonts w:ascii="仿宋" w:hAnsi="仿宋"/>
          <w:szCs w:val="32"/>
        </w:rPr>
        <w:t>00-9100600003，按税法规定，科技成果转化</w:t>
      </w:r>
      <w:r>
        <w:rPr>
          <w:rFonts w:hint="eastAsia" w:ascii="仿宋" w:hAnsi="仿宋"/>
          <w:szCs w:val="32"/>
        </w:rPr>
        <w:t>享受5</w:t>
      </w:r>
      <w:r>
        <w:rPr>
          <w:rFonts w:ascii="仿宋" w:hAnsi="仿宋"/>
          <w:szCs w:val="32"/>
        </w:rPr>
        <w:t>0%的免税。</w:t>
      </w:r>
    </w:p>
    <w:p w14:paraId="0DF142AD">
      <w:pPr>
        <w:spacing w:line="52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注意：专项奖励（免税）为申报收入全部免税，切勿选错。</w:t>
      </w:r>
    </w:p>
    <w:p w14:paraId="1991780F">
      <w:pP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drawing>
          <wp:inline distT="0" distB="0" distL="0" distR="0">
            <wp:extent cx="5543550" cy="221488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214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EE388">
      <w:pP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drawing>
          <wp:inline distT="0" distB="0" distL="0" distR="0">
            <wp:extent cx="5543550" cy="198628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A49D4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FF0000"/>
          <w:kern w:val="0"/>
          <w:sz w:val="36"/>
          <w:szCs w:val="36"/>
        </w:rPr>
        <w:t>二、校外人员</w:t>
      </w:r>
    </w:p>
    <w:p w14:paraId="170747E8">
      <w:pPr>
        <w:spacing w:line="520" w:lineRule="exact"/>
        <w:ind w:firstLine="640" w:firstLineChars="200"/>
      </w:pPr>
      <w:r>
        <w:rPr>
          <w:rFonts w:hint="eastAsia" w:ascii="仿宋" w:hAnsi="仿宋"/>
          <w:szCs w:val="32"/>
        </w:rPr>
        <w:t>校外人员按“其他劳务费”发放，等来年汇算清缴时，由本人上传材料至个税系统申请减免个税。</w:t>
      </w:r>
    </w:p>
    <w:p w14:paraId="3233ED93">
      <w:pPr>
        <w:spacing w:line="600" w:lineRule="exact"/>
        <w:ind w:left="51"/>
        <w:jc w:val="center"/>
        <w:outlineLvl w:val="0"/>
        <w:rPr>
          <w:rFonts w:ascii="仿宋_GB2312" w:eastAsia="仿宋_GB2312" w:hAnsiTheme="majorEastAsia"/>
          <w:b/>
          <w:sz w:val="44"/>
          <w:szCs w:val="44"/>
        </w:rPr>
      </w:pPr>
      <w:r>
        <w:rPr>
          <w:rFonts w:ascii="仿宋_GB2312" w:eastAsia="仿宋_GB2312" w:hAnsiTheme="majorEastAsia"/>
          <w:b/>
          <w:sz w:val="44"/>
          <w:szCs w:val="44"/>
        </w:rPr>
        <w:t>第六节</w:t>
      </w:r>
      <w:r>
        <w:rPr>
          <w:rFonts w:hint="eastAsia" w:ascii="仿宋_GB2312" w:eastAsia="仿宋_GB2312" w:hAnsiTheme="majorEastAsia"/>
          <w:b/>
          <w:sz w:val="44"/>
          <w:szCs w:val="44"/>
        </w:rPr>
        <w:t xml:space="preserve"> </w:t>
      </w:r>
      <w:r>
        <w:rPr>
          <w:rFonts w:ascii="仿宋_GB2312" w:eastAsia="仿宋_GB2312" w:hAnsiTheme="majorEastAsia"/>
          <w:b/>
          <w:sz w:val="44"/>
          <w:szCs w:val="44"/>
        </w:rPr>
        <w:t>常见问题</w:t>
      </w:r>
    </w:p>
    <w:p w14:paraId="142594F2">
      <w:pPr>
        <w:widowControl/>
        <w:spacing w:line="600" w:lineRule="exact"/>
        <w:ind w:firstLine="723" w:firstLineChars="200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1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.授权时间过期</w:t>
      </w:r>
    </w:p>
    <w:p w14:paraId="73D3BA1C">
      <w:pPr>
        <w:spacing w:line="580" w:lineRule="exact"/>
        <w:ind w:firstLine="640" w:firstLineChars="200"/>
        <w:rPr>
          <w:rFonts w:ascii="仿宋" w:hAnsi="仿宋"/>
          <w:szCs w:val="32"/>
        </w:rPr>
      </w:pPr>
      <w:bookmarkStart w:id="3" w:name="OLE_LINK5"/>
      <w:bookmarkStart w:id="4" w:name="OLE_LINK4"/>
      <w:r>
        <w:rPr>
          <w:rFonts w:ascii="仿宋" w:hAnsi="仿宋"/>
          <w:szCs w:val="32"/>
        </w:rPr>
        <w:t>经费选择时财务项</w:t>
      </w:r>
      <w:bookmarkEnd w:id="3"/>
      <w:bookmarkEnd w:id="4"/>
      <w:r>
        <w:rPr>
          <w:rFonts w:ascii="仿宋" w:hAnsi="仿宋"/>
          <w:szCs w:val="32"/>
        </w:rPr>
        <w:t>目列表中“是否有效”一列显示为“过期”，如图</w:t>
      </w:r>
      <w:r>
        <w:rPr>
          <w:rFonts w:hint="eastAsia" w:ascii="仿宋" w:hAnsi="仿宋"/>
          <w:szCs w:val="32"/>
        </w:rPr>
        <w:t>2</w:t>
      </w:r>
      <w:r>
        <w:rPr>
          <w:rFonts w:ascii="仿宋" w:hAnsi="仿宋"/>
          <w:szCs w:val="32"/>
        </w:rPr>
        <w:t>9</w:t>
      </w:r>
      <w:r>
        <w:rPr>
          <w:rFonts w:hint="eastAsia" w:ascii="仿宋" w:hAnsi="仿宋"/>
          <w:szCs w:val="32"/>
        </w:rPr>
        <w:t>，</w:t>
      </w:r>
      <w:r>
        <w:rPr>
          <w:rFonts w:ascii="仿宋" w:hAnsi="仿宋"/>
          <w:szCs w:val="32"/>
        </w:rPr>
        <w:t>代表此项目授权时间已到期，请</w:t>
      </w:r>
      <w:r>
        <w:rPr>
          <w:rFonts w:ascii="仿宋" w:hAnsi="仿宋"/>
          <w:color w:val="FF0000"/>
          <w:szCs w:val="32"/>
        </w:rPr>
        <w:t>授权人取消项目授权后重新授权</w:t>
      </w:r>
      <w:r>
        <w:rPr>
          <w:rFonts w:hint="eastAsia" w:ascii="仿宋" w:hAnsi="仿宋"/>
          <w:szCs w:val="32"/>
        </w:rPr>
        <w:t>。</w:t>
      </w:r>
      <w:r>
        <w:rPr>
          <w:rFonts w:ascii="仿宋" w:hAnsi="仿宋"/>
          <w:szCs w:val="32"/>
        </w:rPr>
        <w:t>取消项目授权方式如图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0、图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1、图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2</w:t>
      </w:r>
      <w:r>
        <w:rPr>
          <w:rFonts w:hint="eastAsia" w:ascii="仿宋" w:hAnsi="仿宋"/>
          <w:szCs w:val="32"/>
        </w:rPr>
        <w:t>，在授权管理——取消授权项目中，在被授权人框内输入工号或姓名，选中项目后点“取消项目”或“取消授权项目”即可取消。</w:t>
      </w:r>
    </w:p>
    <w:p w14:paraId="4F7EC9DF">
      <w:pPr>
        <w:rPr>
          <w:rFonts w:ascii="仿宋" w:hAnsi="仿宋"/>
          <w:b/>
          <w:bCs/>
          <w:sz w:val="21"/>
          <w:szCs w:val="21"/>
        </w:rPr>
      </w:pPr>
      <w:r>
        <w:drawing>
          <wp:inline distT="0" distB="0" distL="0" distR="0">
            <wp:extent cx="5543550" cy="143637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02E0D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图29</w:t>
      </w:r>
    </w:p>
    <w:p w14:paraId="2A078A7B">
      <w:pPr>
        <w:rPr>
          <w:rFonts w:ascii="仿宋" w:hAnsi="仿宋"/>
          <w:b/>
          <w:bCs/>
          <w:sz w:val="21"/>
          <w:szCs w:val="21"/>
        </w:rPr>
      </w:pPr>
      <w:r>
        <w:drawing>
          <wp:inline distT="0" distB="0" distL="0" distR="0">
            <wp:extent cx="5543550" cy="1158240"/>
            <wp:effectExtent l="0" t="0" r="0" b="38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58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8DD0A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图30</w:t>
      </w:r>
    </w:p>
    <w:p w14:paraId="0B0CB39A">
      <w:pPr>
        <w:jc w:val="center"/>
        <w:rPr>
          <w:rFonts w:ascii="仿宋" w:hAnsi="仿宋"/>
          <w:b/>
          <w:bCs/>
          <w:sz w:val="21"/>
          <w:szCs w:val="21"/>
        </w:rPr>
      </w:pPr>
      <w:r>
        <w:drawing>
          <wp:inline distT="0" distB="0" distL="0" distR="0">
            <wp:extent cx="5543550" cy="219964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2DDC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图31</w:t>
      </w:r>
    </w:p>
    <w:p w14:paraId="6BC45B09">
      <w:pPr>
        <w:jc w:val="center"/>
        <w:rPr>
          <w:rFonts w:ascii="仿宋" w:hAnsi="仿宋"/>
          <w:b/>
          <w:bCs/>
          <w:sz w:val="21"/>
          <w:szCs w:val="21"/>
        </w:rPr>
      </w:pPr>
      <w:r>
        <w:drawing>
          <wp:inline distT="0" distB="0" distL="0" distR="0">
            <wp:extent cx="5543550" cy="187325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43A6D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图32</w:t>
      </w:r>
    </w:p>
    <w:p w14:paraId="7014FAC3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bookmarkStart w:id="5" w:name="OLE_LINK6"/>
      <w:bookmarkStart w:id="6" w:name="OLE_LINK7"/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2.被</w:t>
      </w: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授权人在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收入申报系统中看不到项目</w:t>
      </w:r>
    </w:p>
    <w:bookmarkEnd w:id="5"/>
    <w:bookmarkEnd w:id="6"/>
    <w:p w14:paraId="44EB1F10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财务系统授权分为“网上报销系统”、“收入申报系统”、“网上查询系统”三种，如图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3。授权人必须选中其中一种系统才能授权，“网上报销”授权对应选择“网上报销系统”，“收入申报”对应选择“收入申报系统”，“网上查询”对应选择“网上查询系统”，如果选择错误，则无法在对应</w:t>
      </w:r>
      <w:r>
        <w:rPr>
          <w:rFonts w:hint="eastAsia" w:ascii="仿宋" w:hAnsi="仿宋"/>
          <w:szCs w:val="32"/>
        </w:rPr>
        <w:t>系统中看到授权项目。</w:t>
      </w:r>
    </w:p>
    <w:p w14:paraId="7DD2D8BC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32080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B3B74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图33</w:t>
      </w:r>
    </w:p>
    <w:p w14:paraId="0AE6C060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color w:val="FF0000"/>
          <w:szCs w:val="32"/>
        </w:rPr>
        <w:t>被授权人</w:t>
      </w:r>
      <w:r>
        <w:rPr>
          <w:rFonts w:ascii="仿宋" w:hAnsi="仿宋"/>
          <w:szCs w:val="32"/>
        </w:rPr>
        <w:t>可在</w:t>
      </w:r>
      <w:r>
        <w:rPr>
          <w:rFonts w:hint="eastAsia" w:ascii="仿宋" w:hAnsi="仿宋"/>
          <w:szCs w:val="32"/>
        </w:rPr>
        <w:t>授权管理——被授权信息一览中查看授权系统是否正确、项目授权起止时间是否过期，如图3</w:t>
      </w:r>
      <w:r>
        <w:rPr>
          <w:rFonts w:ascii="仿宋" w:hAnsi="仿宋"/>
          <w:szCs w:val="32"/>
        </w:rPr>
        <w:t>4、图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5。</w:t>
      </w:r>
    </w:p>
    <w:p w14:paraId="2B4292D6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16332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B7256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图34</w:t>
      </w:r>
    </w:p>
    <w:p w14:paraId="5723C4E2">
      <w:pPr>
        <w:rPr>
          <w:rFonts w:ascii="仿宋" w:hAnsi="仿宋"/>
          <w:szCs w:val="32"/>
        </w:rPr>
      </w:pPr>
      <w:r>
        <w:drawing>
          <wp:inline distT="0" distB="0" distL="0" distR="0">
            <wp:extent cx="5543550" cy="190754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190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405E3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图35</w:t>
      </w:r>
    </w:p>
    <w:p w14:paraId="34099A6C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3.</w:t>
      </w: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建设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银行卡，但提示为其他银行的银行卡</w:t>
      </w:r>
    </w:p>
    <w:p w14:paraId="1EC0A1E5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szCs w:val="32"/>
        </w:rPr>
        <w:t>如果银行卡是建设银行的银行卡，但系统提示为其他银行的银行卡，则按图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6、图</w:t>
      </w:r>
      <w:r>
        <w:rPr>
          <w:rFonts w:hint="eastAsia" w:ascii="仿宋" w:hAnsi="仿宋"/>
          <w:szCs w:val="32"/>
        </w:rPr>
        <w:t>3</w:t>
      </w:r>
      <w:r>
        <w:rPr>
          <w:rFonts w:ascii="仿宋" w:hAnsi="仿宋"/>
          <w:szCs w:val="32"/>
        </w:rPr>
        <w:t>7设置，选择跨行，然后相应的建设银行开户行，选择使用即可。</w:t>
      </w:r>
    </w:p>
    <w:p w14:paraId="1ED11846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ascii="仿宋" w:hAnsi="仿宋"/>
          <w:color w:val="FF0000"/>
          <w:szCs w:val="32"/>
        </w:rPr>
        <w:t>注意：</w:t>
      </w:r>
      <w:r>
        <w:rPr>
          <w:rFonts w:ascii="仿宋" w:hAnsi="仿宋"/>
          <w:szCs w:val="32"/>
        </w:rPr>
        <w:t>我校银校合作银行为建设银行，建设银行的银行卡必须选择建设银行的开户行，</w:t>
      </w:r>
      <w:r>
        <w:rPr>
          <w:rFonts w:ascii="仿宋" w:hAnsi="仿宋"/>
          <w:color w:val="FF0000"/>
          <w:szCs w:val="32"/>
        </w:rPr>
        <w:t>非建设银行</w:t>
      </w:r>
      <w:r>
        <w:rPr>
          <w:rFonts w:ascii="仿宋" w:hAnsi="仿宋"/>
          <w:szCs w:val="32"/>
        </w:rPr>
        <w:t>的银行卡必须填写</w:t>
      </w:r>
      <w:r>
        <w:rPr>
          <w:rFonts w:ascii="仿宋" w:hAnsi="仿宋"/>
          <w:color w:val="FF0000"/>
          <w:szCs w:val="32"/>
        </w:rPr>
        <w:t>匹配的开户行</w:t>
      </w:r>
      <w:r>
        <w:rPr>
          <w:rFonts w:ascii="仿宋" w:hAnsi="仿宋"/>
          <w:szCs w:val="32"/>
        </w:rPr>
        <w:t>，否则可能打款失败。如果系统中没有相应银行开户行，请先查找到此银行的</w:t>
      </w:r>
      <w:r>
        <w:rPr>
          <w:rFonts w:ascii="仿宋" w:hAnsi="仿宋"/>
          <w:color w:val="FF0000"/>
          <w:szCs w:val="32"/>
        </w:rPr>
        <w:t>联行号（相当于银行的身份证，非银行卡账号）</w:t>
      </w:r>
      <w:r>
        <w:rPr>
          <w:rFonts w:ascii="仿宋" w:hAnsi="仿宋"/>
          <w:szCs w:val="32"/>
        </w:rPr>
        <w:t>，然后联系财务处系统管理员添加开户行及联行号，添加完成后可使用。</w:t>
      </w:r>
    </w:p>
    <w:p w14:paraId="1CAB0D06">
      <w:pPr>
        <w:rPr>
          <w:rFonts w:ascii="仿宋" w:hAnsi="仿宋"/>
          <w:b/>
          <w:bCs/>
          <w:color w:val="4472C4" w:themeColor="accent5"/>
          <w:szCs w:val="32"/>
          <w14:textFill>
            <w14:solidFill>
              <w14:schemeClr w14:val="accent5"/>
            </w14:solidFill>
          </w14:textFill>
        </w:rPr>
      </w:pPr>
      <w:r>
        <w:drawing>
          <wp:inline distT="0" distB="0" distL="0" distR="0">
            <wp:extent cx="5543550" cy="753745"/>
            <wp:effectExtent l="0" t="0" r="0" b="8255"/>
            <wp:docPr id="34" name="图片 34" descr="C:\Users\Administrator\AppData\Roaming\Foxmail7\Temp-8772-20230519082709\Attach\Catch4146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:\Users\Administrator\AppData\Roaming\Foxmail7\Temp-8772-20230519082709\Attach\Catch4146(05-19-10-07-58)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75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EA2FA0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图36</w:t>
      </w:r>
    </w:p>
    <w:p w14:paraId="6B00A719">
      <w:pPr>
        <w:jc w:val="center"/>
        <w:rPr>
          <w:rFonts w:ascii="仿宋" w:hAnsi="仿宋"/>
          <w:b/>
          <w:bCs/>
          <w:sz w:val="21"/>
          <w:szCs w:val="21"/>
        </w:rPr>
      </w:pPr>
      <w:r>
        <w:drawing>
          <wp:inline distT="0" distB="0" distL="0" distR="0">
            <wp:extent cx="5543550" cy="3006090"/>
            <wp:effectExtent l="0" t="0" r="0" b="3810"/>
            <wp:docPr id="37" name="图片 37" descr="C:\Users\Administrator\AppData\Roaming\Foxmail7\Temp-8772-20230519082709\Attach\Catch66B1(05-19-10-07-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strator\AppData\Roaming\Foxmail7\Temp-8772-20230519082709\Attach\Catch66B1(05-19-10-07-58)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006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962097">
      <w:pPr>
        <w:jc w:val="center"/>
        <w:rPr>
          <w:rFonts w:ascii="仿宋" w:hAnsi="仿宋"/>
          <w:b/>
          <w:bCs/>
          <w:sz w:val="21"/>
          <w:szCs w:val="21"/>
        </w:rPr>
      </w:pPr>
      <w:r>
        <w:rPr>
          <w:rFonts w:ascii="仿宋" w:hAnsi="仿宋"/>
          <w:b/>
          <w:bCs/>
          <w:sz w:val="21"/>
          <w:szCs w:val="21"/>
        </w:rPr>
        <w:t>图37</w:t>
      </w:r>
    </w:p>
    <w:p w14:paraId="14C6972F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4.</w:t>
      </w: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提示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手机号重复</w:t>
      </w:r>
    </w:p>
    <w:p w14:paraId="7DAFC5E0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报税时国家税务系统不允许人员电话重复，请在财务系统填报劳务时确保电话唯一，不与其他人电话相同，如有相同，请自行修改。</w:t>
      </w:r>
    </w:p>
    <w:p w14:paraId="58E6BD7C">
      <w:pPr>
        <w:spacing w:line="580" w:lineRule="exact"/>
        <w:ind w:firstLine="640" w:firstLineChars="200"/>
        <w:rPr>
          <w:rFonts w:ascii="仿宋" w:hAnsi="仿宋"/>
          <w:szCs w:val="32"/>
        </w:rPr>
      </w:pPr>
      <w:r>
        <w:rPr>
          <w:rFonts w:hint="eastAsia" w:ascii="仿宋" w:hAnsi="仿宋"/>
          <w:szCs w:val="32"/>
        </w:rPr>
        <w:t>学生在学生财务网上缴费平台修改，跟添加银行卡一样的方式，可在财务网站——服务指南模块查找相应文档。校外人员在校外劳务——人员采集处搜索修改。教职工需致电财务处修改。</w:t>
      </w:r>
    </w:p>
    <w:p w14:paraId="4E839D0B">
      <w:pPr>
        <w:rPr>
          <w:rFonts w:ascii="仿宋" w:hAnsi="仿宋"/>
          <w:b/>
          <w:bCs/>
          <w:color w:val="4472C4" w:themeColor="accent5"/>
          <w:szCs w:val="32"/>
          <w14:textFill>
            <w14:solidFill>
              <w14:schemeClr w14:val="accent5"/>
            </w14:solidFill>
          </w14:textFill>
        </w:rPr>
      </w:pPr>
      <w:r>
        <w:rPr>
          <w:rFonts w:ascii="仿宋" w:hAnsi="仿宋"/>
          <w:b/>
          <w:bCs/>
          <w:color w:val="4472C4" w:themeColor="accent5"/>
          <w:szCs w:val="32"/>
          <w14:textFill>
            <w14:solidFill>
              <w14:schemeClr w14:val="accent5"/>
            </w14:solidFill>
          </w14:textFill>
        </w:rPr>
        <w:drawing>
          <wp:inline distT="0" distB="0" distL="0" distR="0">
            <wp:extent cx="5543550" cy="2687955"/>
            <wp:effectExtent l="0" t="0" r="0" b="0"/>
            <wp:docPr id="2" name="图片 2" descr="D:\TEMP\xwechat_files\wxid_v5hoceei2dpa21_20b9\temp\RWTemp\2025-09\a34619fe0917689bd50f1da2cea21f9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TEMP\xwechat_files\wxid_v5hoceei2dpa21_20b9\temp\RWTemp\2025-09\a34619fe0917689bd50f1da2cea21f9f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268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F5114D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5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.不显示</w:t>
      </w: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学生银行卡号</w:t>
      </w:r>
    </w:p>
    <w:p w14:paraId="25BC5056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 w:ascii="仿宋_GB2312" w:hAnsi="仿宋_GB2312" w:eastAsia="仿宋_GB2312"/>
          <w:szCs w:val="32"/>
        </w:rPr>
        <w:t>网上报销及收入申报系统添加银行卡需要学生本人自行添加。</w:t>
      </w:r>
    </w:p>
    <w:p w14:paraId="65C370B2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 w:ascii="仿宋_GB2312" w:hAnsi="仿宋_GB2312" w:eastAsia="仿宋_GB2312"/>
          <w:szCs w:val="32"/>
        </w:rPr>
        <w:t>操作方法可在计划财务处网站——服务指南模块——“学生财务报销添加银行卡、手机号操作指南”查看。</w:t>
      </w:r>
    </w:p>
    <w:p w14:paraId="3ADE7BCE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 w:ascii="仿宋_GB2312" w:hAnsi="仿宋_GB2312" w:eastAsia="仿宋_GB2312"/>
          <w:szCs w:val="32"/>
        </w:rPr>
        <w:t>也</w:t>
      </w:r>
      <w:r>
        <w:rPr>
          <w:rFonts w:ascii="仿宋_GB2312" w:hAnsi="仿宋_GB2312" w:eastAsia="仿宋_GB2312"/>
          <w:szCs w:val="32"/>
        </w:rPr>
        <w:t>可以自行在收入申报填单页面“银行卡号（手录）”处录入，此方法每次均需手动录入。</w:t>
      </w:r>
    </w:p>
    <w:p w14:paraId="4C9E2E44">
      <w:pPr>
        <w:widowControl/>
        <w:spacing w:line="600" w:lineRule="exact"/>
        <w:ind w:firstLine="723" w:firstLineChars="200"/>
        <w:jc w:val="left"/>
        <w:outlineLvl w:val="0"/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</w:pP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6</w:t>
      </w:r>
      <w:r>
        <w:rPr>
          <w:rFonts w:hint="eastAsia"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．</w:t>
      </w:r>
      <w:r>
        <w:rPr>
          <w:rFonts w:ascii="仿宋_GB2312" w:hAnsi="宋体" w:eastAsia="仿宋_GB2312" w:cs="Times New Roman"/>
          <w:b/>
          <w:color w:val="2E75B6" w:themeColor="accent1" w:themeShade="BF"/>
          <w:kern w:val="0"/>
          <w:sz w:val="36"/>
          <w:szCs w:val="36"/>
        </w:rPr>
        <w:t>删除审批单据</w:t>
      </w:r>
    </w:p>
    <w:p w14:paraId="4051828E">
      <w:pPr>
        <w:spacing w:line="560" w:lineRule="exact"/>
        <w:ind w:firstLine="640" w:firstLineChars="200"/>
        <w:rPr>
          <w:rFonts w:ascii="仿宋_GB2312" w:hAnsi="仿宋_GB2312" w:eastAsia="仿宋_GB2312"/>
          <w:szCs w:val="32"/>
        </w:rPr>
      </w:pPr>
      <w:r>
        <w:rPr>
          <w:rFonts w:hint="eastAsia" w:ascii="仿宋_GB2312" w:hAnsi="仿宋_GB2312" w:eastAsia="仿宋_GB2312"/>
          <w:szCs w:val="32"/>
        </w:rPr>
        <w:t>如果单据刚提交未审批，可以直接删除；如果单据已经审批，需要撤销审批后删除；挂起后也可以在挂起操作中删除。</w:t>
      </w:r>
    </w:p>
    <w:p w14:paraId="2969C07E">
      <w:pPr>
        <w:spacing w:line="560" w:lineRule="exact"/>
        <w:ind w:firstLine="640" w:firstLineChars="200"/>
      </w:pPr>
    </w:p>
    <w:p w14:paraId="74E65EE9">
      <w:pPr>
        <w:rPr>
          <w:rFonts w:ascii="仿宋" w:hAnsi="仿宋"/>
          <w:b/>
          <w:bCs/>
          <w:color w:val="4472C4" w:themeColor="accent5"/>
          <w:szCs w:val="32"/>
          <w14:textFill>
            <w14:solidFill>
              <w14:schemeClr w14:val="accent5"/>
            </w14:solidFill>
          </w14:textFill>
        </w:rPr>
      </w:pPr>
    </w:p>
    <w:sectPr>
      <w:footerReference r:id="rId3" w:type="default"/>
      <w:pgSz w:w="11906" w:h="16838"/>
      <w:pgMar w:top="2098" w:right="1588" w:bottom="1871" w:left="1588" w:header="851" w:footer="992" w:gutter="0"/>
      <w:cols w:space="425" w:num="1"/>
      <w:docGrid w:type="lines" w:linePitch="43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0E0719"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98C82A4">
                          <w:pPr>
                            <w:pStyle w:val="5"/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ascii="宋体" w:hAnsi="宋体" w:eastAsia="宋体" w:cs="宋体"/>
                              <w:sz w:val="24"/>
                              <w:szCs w:val="24"/>
                            </w:rPr>
                            <w:t>26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4"/>
                              <w:szCs w:val="24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9j2DAsAgAAVQQAAA4AAABkcnMvZTJvRG9jLnhtbK1UzY7TMBC+I/EO&#10;lu80aVFX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3k7T9sLVA3CpkSOS6B4brdDsm57Z3uRn&#10;EHOm6wxv+aZC8i3z4YE5tAIejGEJ91gKaZDE9BYlpXFf/3Ue41EheCmp0VoZ1ZgkSuQHjcoBMAyG&#10;G4z9YOijujPo1TGG0PLWxAUX5GAWzqgvmKBVzAEX0xyZMhoG8y507Y0J5GK1aoPQa5aFrd5ZHqGj&#10;eN6ujgECtrpGUToleq3QbW1l+smI7fznvo16+hssH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r2PYMCwCAABV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498C82A4">
                    <w:pPr>
                      <w:pStyle w:val="5"/>
                      <w:rPr>
                        <w:rFonts w:ascii="宋体" w:hAnsi="宋体" w:eastAsia="宋体" w:cs="宋体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ascii="宋体" w:hAnsi="宋体" w:eastAsia="宋体" w:cs="宋体"/>
                        <w:sz w:val="24"/>
                        <w:szCs w:val="24"/>
                      </w:rPr>
                      <w:t>26</w:t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4"/>
                        <w:szCs w:val="24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4DB2533"/>
    <w:multiLevelType w:val="multilevel"/>
    <w:tmpl w:val="24DB2533"/>
    <w:lvl w:ilvl="0" w:tentative="0">
      <w:start w:val="1"/>
      <w:numFmt w:val="japaneseCounting"/>
      <w:lvlText w:val="%1、"/>
      <w:lvlJc w:val="left"/>
      <w:pPr>
        <w:ind w:left="1623" w:hanging="90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563" w:hanging="420"/>
      </w:pPr>
    </w:lvl>
    <w:lvl w:ilvl="2" w:tentative="0">
      <w:start w:val="1"/>
      <w:numFmt w:val="lowerRoman"/>
      <w:lvlText w:val="%3."/>
      <w:lvlJc w:val="right"/>
      <w:pPr>
        <w:ind w:left="1983" w:hanging="420"/>
      </w:pPr>
    </w:lvl>
    <w:lvl w:ilvl="3" w:tentative="0">
      <w:start w:val="1"/>
      <w:numFmt w:val="decimal"/>
      <w:lvlText w:val="%4."/>
      <w:lvlJc w:val="left"/>
      <w:pPr>
        <w:ind w:left="2403" w:hanging="420"/>
      </w:pPr>
    </w:lvl>
    <w:lvl w:ilvl="4" w:tentative="0">
      <w:start w:val="1"/>
      <w:numFmt w:val="lowerLetter"/>
      <w:lvlText w:val="%5)"/>
      <w:lvlJc w:val="left"/>
      <w:pPr>
        <w:ind w:left="2823" w:hanging="420"/>
      </w:pPr>
    </w:lvl>
    <w:lvl w:ilvl="5" w:tentative="0">
      <w:start w:val="1"/>
      <w:numFmt w:val="lowerRoman"/>
      <w:lvlText w:val="%6."/>
      <w:lvlJc w:val="right"/>
      <w:pPr>
        <w:ind w:left="3243" w:hanging="420"/>
      </w:pPr>
    </w:lvl>
    <w:lvl w:ilvl="6" w:tentative="0">
      <w:start w:val="1"/>
      <w:numFmt w:val="decimal"/>
      <w:lvlText w:val="%7."/>
      <w:lvlJc w:val="left"/>
      <w:pPr>
        <w:ind w:left="3663" w:hanging="420"/>
      </w:pPr>
    </w:lvl>
    <w:lvl w:ilvl="7" w:tentative="0">
      <w:start w:val="1"/>
      <w:numFmt w:val="lowerLetter"/>
      <w:lvlText w:val="%8)"/>
      <w:lvlJc w:val="left"/>
      <w:pPr>
        <w:ind w:left="4083" w:hanging="420"/>
      </w:pPr>
    </w:lvl>
    <w:lvl w:ilvl="8" w:tentative="0">
      <w:start w:val="1"/>
      <w:numFmt w:val="lowerRoman"/>
      <w:lvlText w:val="%9."/>
      <w:lvlJc w:val="right"/>
      <w:pPr>
        <w:ind w:left="4503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1"/>
  <w:bordersDoNotSurroundFooter w:val="1"/>
  <w:documentProtection w:enforcement="0"/>
  <w:defaultTabStop w:val="420"/>
  <w:drawingGridHorizontalSpacing w:val="160"/>
  <w:drawingGridVerticalSpacing w:val="435"/>
  <w:displayHorizontalDrawingGridEvery w:val="0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BiMzA2MjE5MjYyZGU1MjdmMDMwM2ZlYWNiYWQ1YWEifQ=="/>
  </w:docVars>
  <w:rsids>
    <w:rsidRoot w:val="002D5D2C"/>
    <w:rsid w:val="000058EC"/>
    <w:rsid w:val="0001531E"/>
    <w:rsid w:val="00015967"/>
    <w:rsid w:val="000268AB"/>
    <w:rsid w:val="0002697E"/>
    <w:rsid w:val="000322AB"/>
    <w:rsid w:val="00043231"/>
    <w:rsid w:val="00061C0E"/>
    <w:rsid w:val="00063D76"/>
    <w:rsid w:val="00076CF1"/>
    <w:rsid w:val="00077107"/>
    <w:rsid w:val="00086810"/>
    <w:rsid w:val="000B5562"/>
    <w:rsid w:val="000C4BA9"/>
    <w:rsid w:val="000C52C1"/>
    <w:rsid w:val="00107180"/>
    <w:rsid w:val="00112203"/>
    <w:rsid w:val="00120270"/>
    <w:rsid w:val="00130B5E"/>
    <w:rsid w:val="0014284E"/>
    <w:rsid w:val="00152335"/>
    <w:rsid w:val="00156AF7"/>
    <w:rsid w:val="00172238"/>
    <w:rsid w:val="00173DF4"/>
    <w:rsid w:val="001826C3"/>
    <w:rsid w:val="00186E4C"/>
    <w:rsid w:val="0019204F"/>
    <w:rsid w:val="00195FF4"/>
    <w:rsid w:val="001A65CB"/>
    <w:rsid w:val="001B4E3C"/>
    <w:rsid w:val="001E72EC"/>
    <w:rsid w:val="0020626E"/>
    <w:rsid w:val="002151E4"/>
    <w:rsid w:val="0022046C"/>
    <w:rsid w:val="00223C8D"/>
    <w:rsid w:val="002308BA"/>
    <w:rsid w:val="002440B8"/>
    <w:rsid w:val="00244839"/>
    <w:rsid w:val="002718C6"/>
    <w:rsid w:val="0028011F"/>
    <w:rsid w:val="0029540D"/>
    <w:rsid w:val="002C0B39"/>
    <w:rsid w:val="002C6E1E"/>
    <w:rsid w:val="002D5D2C"/>
    <w:rsid w:val="002E0407"/>
    <w:rsid w:val="002E07D1"/>
    <w:rsid w:val="002E42BF"/>
    <w:rsid w:val="002E77F7"/>
    <w:rsid w:val="00301AD7"/>
    <w:rsid w:val="00306C36"/>
    <w:rsid w:val="00306C6E"/>
    <w:rsid w:val="00335933"/>
    <w:rsid w:val="003465A0"/>
    <w:rsid w:val="00346A44"/>
    <w:rsid w:val="003476CA"/>
    <w:rsid w:val="003528A5"/>
    <w:rsid w:val="003539FC"/>
    <w:rsid w:val="003613E3"/>
    <w:rsid w:val="00370A36"/>
    <w:rsid w:val="00393C78"/>
    <w:rsid w:val="0039470F"/>
    <w:rsid w:val="0039524C"/>
    <w:rsid w:val="00397471"/>
    <w:rsid w:val="003A0F6B"/>
    <w:rsid w:val="003A67D6"/>
    <w:rsid w:val="003A6A40"/>
    <w:rsid w:val="003A6C53"/>
    <w:rsid w:val="003A6F33"/>
    <w:rsid w:val="003B35F8"/>
    <w:rsid w:val="003C01C0"/>
    <w:rsid w:val="003D5FA6"/>
    <w:rsid w:val="003E43E6"/>
    <w:rsid w:val="003F29FB"/>
    <w:rsid w:val="003F774A"/>
    <w:rsid w:val="003F77C2"/>
    <w:rsid w:val="004139C3"/>
    <w:rsid w:val="0042752B"/>
    <w:rsid w:val="004419A3"/>
    <w:rsid w:val="004654D0"/>
    <w:rsid w:val="004769E2"/>
    <w:rsid w:val="004822F4"/>
    <w:rsid w:val="00492FB5"/>
    <w:rsid w:val="00494A02"/>
    <w:rsid w:val="00496A1E"/>
    <w:rsid w:val="004A32C3"/>
    <w:rsid w:val="004A670A"/>
    <w:rsid w:val="004C39A1"/>
    <w:rsid w:val="004C4B33"/>
    <w:rsid w:val="004C5655"/>
    <w:rsid w:val="004D0568"/>
    <w:rsid w:val="004D142A"/>
    <w:rsid w:val="004D35DA"/>
    <w:rsid w:val="004F1C63"/>
    <w:rsid w:val="0050593E"/>
    <w:rsid w:val="00510AD7"/>
    <w:rsid w:val="00512C6B"/>
    <w:rsid w:val="005211F8"/>
    <w:rsid w:val="00522A44"/>
    <w:rsid w:val="0052385C"/>
    <w:rsid w:val="00531B3D"/>
    <w:rsid w:val="005450B4"/>
    <w:rsid w:val="005509AE"/>
    <w:rsid w:val="005527C5"/>
    <w:rsid w:val="00553D4A"/>
    <w:rsid w:val="0055461B"/>
    <w:rsid w:val="00561965"/>
    <w:rsid w:val="00564081"/>
    <w:rsid w:val="00576448"/>
    <w:rsid w:val="00577317"/>
    <w:rsid w:val="00594FDB"/>
    <w:rsid w:val="005956C7"/>
    <w:rsid w:val="00596464"/>
    <w:rsid w:val="00596806"/>
    <w:rsid w:val="005A6909"/>
    <w:rsid w:val="005C2D07"/>
    <w:rsid w:val="005C45A8"/>
    <w:rsid w:val="005D6297"/>
    <w:rsid w:val="005E4976"/>
    <w:rsid w:val="005E6D4A"/>
    <w:rsid w:val="005F4065"/>
    <w:rsid w:val="0060044D"/>
    <w:rsid w:val="00601A31"/>
    <w:rsid w:val="00612883"/>
    <w:rsid w:val="00614C0A"/>
    <w:rsid w:val="0062724E"/>
    <w:rsid w:val="006356CC"/>
    <w:rsid w:val="00637BA6"/>
    <w:rsid w:val="00640994"/>
    <w:rsid w:val="00661311"/>
    <w:rsid w:val="00665204"/>
    <w:rsid w:val="00666098"/>
    <w:rsid w:val="0066644A"/>
    <w:rsid w:val="0067751E"/>
    <w:rsid w:val="00680AA5"/>
    <w:rsid w:val="00690708"/>
    <w:rsid w:val="006916E6"/>
    <w:rsid w:val="006935F8"/>
    <w:rsid w:val="006B3067"/>
    <w:rsid w:val="006B3D6F"/>
    <w:rsid w:val="006C2753"/>
    <w:rsid w:val="006D0DD9"/>
    <w:rsid w:val="006D51AE"/>
    <w:rsid w:val="006E064B"/>
    <w:rsid w:val="006F2BD3"/>
    <w:rsid w:val="006F6969"/>
    <w:rsid w:val="00717DA0"/>
    <w:rsid w:val="00734A13"/>
    <w:rsid w:val="007403CE"/>
    <w:rsid w:val="00741954"/>
    <w:rsid w:val="00743F62"/>
    <w:rsid w:val="00753BCF"/>
    <w:rsid w:val="00755BDD"/>
    <w:rsid w:val="0076016F"/>
    <w:rsid w:val="0076040D"/>
    <w:rsid w:val="00761DEE"/>
    <w:rsid w:val="007622A0"/>
    <w:rsid w:val="00763993"/>
    <w:rsid w:val="0076649B"/>
    <w:rsid w:val="0077203B"/>
    <w:rsid w:val="00772AE1"/>
    <w:rsid w:val="00786B29"/>
    <w:rsid w:val="007954B4"/>
    <w:rsid w:val="00796471"/>
    <w:rsid w:val="007B041B"/>
    <w:rsid w:val="007C54AE"/>
    <w:rsid w:val="007E4732"/>
    <w:rsid w:val="007F56BE"/>
    <w:rsid w:val="007F6B5F"/>
    <w:rsid w:val="0080498F"/>
    <w:rsid w:val="00804CAC"/>
    <w:rsid w:val="00822B54"/>
    <w:rsid w:val="008246CF"/>
    <w:rsid w:val="00834E16"/>
    <w:rsid w:val="00834E74"/>
    <w:rsid w:val="00852EE3"/>
    <w:rsid w:val="008548D3"/>
    <w:rsid w:val="008604D1"/>
    <w:rsid w:val="00875BC9"/>
    <w:rsid w:val="008825AE"/>
    <w:rsid w:val="008850CC"/>
    <w:rsid w:val="008909A1"/>
    <w:rsid w:val="00895CF2"/>
    <w:rsid w:val="008A49D4"/>
    <w:rsid w:val="008B6351"/>
    <w:rsid w:val="008C0BA3"/>
    <w:rsid w:val="008C3A7F"/>
    <w:rsid w:val="008D2456"/>
    <w:rsid w:val="008D48B9"/>
    <w:rsid w:val="008F471A"/>
    <w:rsid w:val="009039D2"/>
    <w:rsid w:val="00911487"/>
    <w:rsid w:val="00916CE0"/>
    <w:rsid w:val="00937DB6"/>
    <w:rsid w:val="00944B39"/>
    <w:rsid w:val="00945170"/>
    <w:rsid w:val="0094720D"/>
    <w:rsid w:val="00947EF5"/>
    <w:rsid w:val="00987D4A"/>
    <w:rsid w:val="00993729"/>
    <w:rsid w:val="009A27DE"/>
    <w:rsid w:val="009A52FC"/>
    <w:rsid w:val="009B298A"/>
    <w:rsid w:val="009B3F8D"/>
    <w:rsid w:val="009C7C46"/>
    <w:rsid w:val="009C7DE9"/>
    <w:rsid w:val="009D0314"/>
    <w:rsid w:val="009D083D"/>
    <w:rsid w:val="009E5091"/>
    <w:rsid w:val="009E5A3A"/>
    <w:rsid w:val="00A0003C"/>
    <w:rsid w:val="00A00435"/>
    <w:rsid w:val="00A01E17"/>
    <w:rsid w:val="00A065E7"/>
    <w:rsid w:val="00A11733"/>
    <w:rsid w:val="00A3126A"/>
    <w:rsid w:val="00A31521"/>
    <w:rsid w:val="00A319F7"/>
    <w:rsid w:val="00A41596"/>
    <w:rsid w:val="00A43B17"/>
    <w:rsid w:val="00A501D5"/>
    <w:rsid w:val="00A550CF"/>
    <w:rsid w:val="00A55F75"/>
    <w:rsid w:val="00A6343A"/>
    <w:rsid w:val="00A80F2D"/>
    <w:rsid w:val="00A929F4"/>
    <w:rsid w:val="00AA3333"/>
    <w:rsid w:val="00AC5222"/>
    <w:rsid w:val="00AC5DE8"/>
    <w:rsid w:val="00AC6ED5"/>
    <w:rsid w:val="00AD58C5"/>
    <w:rsid w:val="00AD5F83"/>
    <w:rsid w:val="00AE0532"/>
    <w:rsid w:val="00AE1FDA"/>
    <w:rsid w:val="00AE3E52"/>
    <w:rsid w:val="00AE5A38"/>
    <w:rsid w:val="00AF40CE"/>
    <w:rsid w:val="00B015FC"/>
    <w:rsid w:val="00B251CD"/>
    <w:rsid w:val="00B2653C"/>
    <w:rsid w:val="00B472E1"/>
    <w:rsid w:val="00B5120A"/>
    <w:rsid w:val="00B521FC"/>
    <w:rsid w:val="00B53BB6"/>
    <w:rsid w:val="00B60A4B"/>
    <w:rsid w:val="00B626B0"/>
    <w:rsid w:val="00B63A90"/>
    <w:rsid w:val="00B72117"/>
    <w:rsid w:val="00B7441B"/>
    <w:rsid w:val="00B74FAD"/>
    <w:rsid w:val="00B81B0E"/>
    <w:rsid w:val="00B845D1"/>
    <w:rsid w:val="00BA6D86"/>
    <w:rsid w:val="00BC236B"/>
    <w:rsid w:val="00BC2DBB"/>
    <w:rsid w:val="00BC31C5"/>
    <w:rsid w:val="00BC3E48"/>
    <w:rsid w:val="00BD5B3A"/>
    <w:rsid w:val="00BE58D0"/>
    <w:rsid w:val="00BF34D7"/>
    <w:rsid w:val="00BF6CCE"/>
    <w:rsid w:val="00C02CED"/>
    <w:rsid w:val="00C27268"/>
    <w:rsid w:val="00C35509"/>
    <w:rsid w:val="00C35F6C"/>
    <w:rsid w:val="00C40276"/>
    <w:rsid w:val="00C5021B"/>
    <w:rsid w:val="00C6750E"/>
    <w:rsid w:val="00C71DFE"/>
    <w:rsid w:val="00C73CB7"/>
    <w:rsid w:val="00C75160"/>
    <w:rsid w:val="00C95F70"/>
    <w:rsid w:val="00CA37FA"/>
    <w:rsid w:val="00CA4087"/>
    <w:rsid w:val="00CD3A23"/>
    <w:rsid w:val="00CD761A"/>
    <w:rsid w:val="00CD7EFE"/>
    <w:rsid w:val="00CF42A2"/>
    <w:rsid w:val="00D024A6"/>
    <w:rsid w:val="00D31CA3"/>
    <w:rsid w:val="00D62CA7"/>
    <w:rsid w:val="00D655D9"/>
    <w:rsid w:val="00D767DB"/>
    <w:rsid w:val="00D812AE"/>
    <w:rsid w:val="00D8581E"/>
    <w:rsid w:val="00D87749"/>
    <w:rsid w:val="00DA4DA2"/>
    <w:rsid w:val="00DC1055"/>
    <w:rsid w:val="00DC736C"/>
    <w:rsid w:val="00DD40B1"/>
    <w:rsid w:val="00DE5CD5"/>
    <w:rsid w:val="00DE7012"/>
    <w:rsid w:val="00DF2333"/>
    <w:rsid w:val="00DF4FAC"/>
    <w:rsid w:val="00E0098A"/>
    <w:rsid w:val="00E13EC9"/>
    <w:rsid w:val="00E20837"/>
    <w:rsid w:val="00E22A88"/>
    <w:rsid w:val="00E250C7"/>
    <w:rsid w:val="00E315B9"/>
    <w:rsid w:val="00E328F9"/>
    <w:rsid w:val="00E33666"/>
    <w:rsid w:val="00E45A60"/>
    <w:rsid w:val="00E50B99"/>
    <w:rsid w:val="00E62572"/>
    <w:rsid w:val="00E71B04"/>
    <w:rsid w:val="00E755CA"/>
    <w:rsid w:val="00E756F5"/>
    <w:rsid w:val="00E80848"/>
    <w:rsid w:val="00E83B0E"/>
    <w:rsid w:val="00EC4C48"/>
    <w:rsid w:val="00EE22BA"/>
    <w:rsid w:val="00EE676C"/>
    <w:rsid w:val="00F1604B"/>
    <w:rsid w:val="00F23DD9"/>
    <w:rsid w:val="00F41281"/>
    <w:rsid w:val="00F444BF"/>
    <w:rsid w:val="00F742CA"/>
    <w:rsid w:val="00F754A8"/>
    <w:rsid w:val="00F834C4"/>
    <w:rsid w:val="00F8670D"/>
    <w:rsid w:val="00F9221C"/>
    <w:rsid w:val="00FA0D34"/>
    <w:rsid w:val="00FA7AD0"/>
    <w:rsid w:val="00FC7108"/>
    <w:rsid w:val="00FE6CCD"/>
    <w:rsid w:val="00FE7E8C"/>
    <w:rsid w:val="00FF1A20"/>
    <w:rsid w:val="00FF7105"/>
    <w:rsid w:val="00FF78EA"/>
    <w:rsid w:val="04BD2D76"/>
    <w:rsid w:val="07550A75"/>
    <w:rsid w:val="0D5E6340"/>
    <w:rsid w:val="10AE61FD"/>
    <w:rsid w:val="11D063A9"/>
    <w:rsid w:val="12971CE2"/>
    <w:rsid w:val="214331D8"/>
    <w:rsid w:val="21991BAE"/>
    <w:rsid w:val="2CDA0C05"/>
    <w:rsid w:val="33DE760F"/>
    <w:rsid w:val="356B2319"/>
    <w:rsid w:val="39573FBB"/>
    <w:rsid w:val="398D679F"/>
    <w:rsid w:val="3E8F1257"/>
    <w:rsid w:val="41F65F21"/>
    <w:rsid w:val="469B556E"/>
    <w:rsid w:val="4A7C0764"/>
    <w:rsid w:val="6A582B8E"/>
    <w:rsid w:val="74BD00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link w:val="10"/>
    <w:qFormat/>
    <w:uiPriority w:val="9"/>
    <w:pPr>
      <w:keepNext/>
      <w:keepLines/>
      <w:spacing w:before="340" w:after="330" w:line="578" w:lineRule="auto"/>
      <w:outlineLvl w:val="0"/>
    </w:pPr>
    <w:rPr>
      <w:rFonts w:ascii="仿宋" w:hAnsi="仿宋" w:eastAsia="黑体"/>
      <w:b/>
      <w:bCs/>
      <w:kern w:val="44"/>
      <w:szCs w:val="32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="仿宋" w:hAnsi="仿宋" w:eastAsia="楷体" w:cstheme="majorBidi"/>
      <w:b/>
      <w:bCs/>
      <w:szCs w:val="32"/>
    </w:rPr>
  </w:style>
  <w:style w:type="paragraph" w:styleId="4">
    <w:name w:val="heading 3"/>
    <w:basedOn w:val="1"/>
    <w:next w:val="1"/>
    <w:link w:val="16"/>
    <w:unhideWhenUsed/>
    <w:qFormat/>
    <w:uiPriority w:val="9"/>
    <w:pPr>
      <w:keepNext/>
      <w:keepLines/>
      <w:spacing w:before="260" w:after="260" w:line="560" w:lineRule="exact"/>
      <w:outlineLvl w:val="2"/>
    </w:pPr>
    <w:rPr>
      <w:rFonts w:ascii="仿宋" w:hAnsi="仿宋"/>
      <w:b/>
      <w:bCs/>
      <w:szCs w:val="32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itle"/>
    <w:basedOn w:val="1"/>
    <w:next w:val="1"/>
    <w:link w:val="11"/>
    <w:qFormat/>
    <w:uiPriority w:val="1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44"/>
      <w:szCs w:val="32"/>
    </w:rPr>
  </w:style>
  <w:style w:type="character" w:customStyle="1" w:styleId="10">
    <w:name w:val="标题 1 Char"/>
    <w:basedOn w:val="9"/>
    <w:link w:val="2"/>
    <w:qFormat/>
    <w:uiPriority w:val="9"/>
    <w:rPr>
      <w:rFonts w:ascii="仿宋" w:hAnsi="仿宋" w:eastAsia="黑体"/>
      <w:b/>
      <w:bCs/>
      <w:kern w:val="44"/>
      <w:sz w:val="32"/>
      <w:szCs w:val="32"/>
    </w:rPr>
  </w:style>
  <w:style w:type="character" w:customStyle="1" w:styleId="11">
    <w:name w:val="标题 Char"/>
    <w:basedOn w:val="9"/>
    <w:link w:val="7"/>
    <w:qFormat/>
    <w:uiPriority w:val="10"/>
    <w:rPr>
      <w:rFonts w:eastAsia="宋体" w:asciiTheme="majorHAnsi" w:hAnsiTheme="majorHAnsi" w:cstheme="majorBidi"/>
      <w:b/>
      <w:bCs/>
      <w:sz w:val="44"/>
      <w:szCs w:val="32"/>
    </w:rPr>
  </w:style>
  <w:style w:type="character" w:customStyle="1" w:styleId="12">
    <w:name w:val="页眉 Char"/>
    <w:basedOn w:val="9"/>
    <w:link w:val="6"/>
    <w:qFormat/>
    <w:uiPriority w:val="99"/>
    <w:rPr>
      <w:sz w:val="18"/>
      <w:szCs w:val="18"/>
    </w:rPr>
  </w:style>
  <w:style w:type="character" w:customStyle="1" w:styleId="13">
    <w:name w:val="页脚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标题 2 Char"/>
    <w:basedOn w:val="9"/>
    <w:link w:val="3"/>
    <w:qFormat/>
    <w:uiPriority w:val="9"/>
    <w:rPr>
      <w:rFonts w:ascii="仿宋" w:hAnsi="仿宋" w:eastAsia="楷体" w:cstheme="majorBidi"/>
      <w:b/>
      <w:bCs/>
      <w:sz w:val="32"/>
      <w:szCs w:val="32"/>
    </w:rPr>
  </w:style>
  <w:style w:type="paragraph" w:styleId="15">
    <w:name w:val="List Paragraph"/>
    <w:basedOn w:val="1"/>
    <w:qFormat/>
    <w:uiPriority w:val="34"/>
    <w:pPr>
      <w:ind w:firstLine="420" w:firstLineChars="200"/>
    </w:pPr>
  </w:style>
  <w:style w:type="character" w:customStyle="1" w:styleId="16">
    <w:name w:val="标题 3 Char"/>
    <w:basedOn w:val="9"/>
    <w:link w:val="4"/>
    <w:qFormat/>
    <w:uiPriority w:val="9"/>
    <w:rPr>
      <w:rFonts w:ascii="仿宋" w:hAnsi="仿宋" w:eastAsia="仿宋"/>
      <w:b/>
      <w:bCs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5" Type="http://schemas.openxmlformats.org/officeDocument/2006/relationships/fontTable" Target="fontTable.xml"/><Relationship Id="rId64" Type="http://schemas.openxmlformats.org/officeDocument/2006/relationships/customXml" Target="../customXml/item2.xml"/><Relationship Id="rId63" Type="http://schemas.openxmlformats.org/officeDocument/2006/relationships/numbering" Target="numbering.xml"/><Relationship Id="rId62" Type="http://schemas.openxmlformats.org/officeDocument/2006/relationships/customXml" Target="../customXml/item1.xml"/><Relationship Id="rId61" Type="http://schemas.openxmlformats.org/officeDocument/2006/relationships/image" Target="media/image57.png"/><Relationship Id="rId60" Type="http://schemas.openxmlformats.org/officeDocument/2006/relationships/image" Target="media/image56.jpeg"/><Relationship Id="rId6" Type="http://schemas.openxmlformats.org/officeDocument/2006/relationships/image" Target="media/image2.png"/><Relationship Id="rId59" Type="http://schemas.openxmlformats.org/officeDocument/2006/relationships/image" Target="media/image55.jpe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AEACE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FCE082E-78EE-48A0-931C-060E8A50BC3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Organization</Company>
  <Pages>31</Pages>
  <Words>4923</Words>
  <Characters>5056</Characters>
  <Lines>38</Lines>
  <Paragraphs>10</Paragraphs>
  <TotalTime>0</TotalTime>
  <ScaleCrop>false</ScaleCrop>
  <LinksUpToDate>false</LinksUpToDate>
  <CharactersWithSpaces>5071</CharactersWithSpaces>
  <Application>WPS Office_12.1.0.24031_F1E327BC-269C-435d-A152-05C5408002CA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2023-04-25T06:48:00Z</dcterms:created>
  <dc:creator>Windows 用户</dc:creator>
  <cp:lastModifiedBy>白小慧</cp:lastModifiedBy>
  <dcterms:modified xsi:type="dcterms:W3CDTF">2026-05-08T08:38:07Z</dcterms:modified>
  <cp:revision>283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2052-12.1.0.24031</vt:lpwstr>
  </property>
  <property fmtid="{D5CDD505-2E9C-101B-9397-08002B2CF9AE}" pid="3" name="ICV">
    <vt:lpwstr>6FD6740FF24249F8B061B2B3439A55D9_12</vt:lpwstr>
  </property>
  <property fmtid="{D5CDD505-2E9C-101B-9397-08002B2CF9AE}" pid="4" name="KSOTemplateDocerSaveRecord">
    <vt:lpwstr>eyJoZGlkIjoiYzBiM2MxMjE5NDYxOGQ4OWMxMWUxOTBkN2IxZGUxN2IiLCJ1c2VySWQiOiIxNzgwMjE4NzEzIn0=</vt:lpwstr>
  </property>
</Properties>
</file>