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BFA7">
      <w:pPr>
        <w:pStyle w:val="7"/>
      </w:pPr>
      <w:bookmarkStart w:id="0" w:name="OLE_LINK2"/>
      <w:bookmarkStart w:id="1" w:name="OLE_LINK1"/>
      <w:r>
        <w:rPr>
          <w:rFonts w:hint="eastAsia"/>
        </w:rPr>
        <w:t>智慧财务网上综合服务平台</w:t>
      </w:r>
      <w:bookmarkEnd w:id="0"/>
      <w:bookmarkEnd w:id="1"/>
      <w:r>
        <w:rPr>
          <w:rFonts w:hint="eastAsia"/>
        </w:rPr>
        <w:t>单据管理</w:t>
      </w:r>
    </w:p>
    <w:p w14:paraId="6870978F">
      <w:pPr>
        <w:pStyle w:val="2"/>
      </w:pPr>
      <w:r>
        <w:rPr>
          <w:rFonts w:hint="eastAsia"/>
        </w:rPr>
        <w:t>一、智能报销</w:t>
      </w:r>
    </w:p>
    <w:p w14:paraId="46472FE9">
      <w:pPr>
        <w:spacing w:line="520" w:lineRule="exact"/>
        <w:ind w:firstLine="640"/>
        <w:jc w:val="both"/>
      </w:pPr>
      <w:r>
        <w:t>进入</w:t>
      </w:r>
      <w:r>
        <w:rPr>
          <w:rFonts w:hint="eastAsia"/>
        </w:rPr>
        <w:t>智慧财务网上综合服务平台——智能报销</w:t>
      </w:r>
    </w:p>
    <w:p w14:paraId="3FC9CAC9">
      <w:pPr>
        <w:pStyle w:val="4"/>
        <w:ind w:firstLine="640"/>
        <w:jc w:val="both"/>
      </w:pPr>
      <w:r>
        <w:t>注意：智能报销单据管理只有日常业务报销单据，无收入申报劳务等单据，如需查询收入申报单据需进入收入申报系统</w:t>
      </w:r>
      <w:r>
        <w:rPr>
          <w:rFonts w:hint="eastAsia"/>
        </w:rPr>
        <w:t>查询（可查看文档“收入申报系统操作指南”）。</w:t>
      </w:r>
    </w:p>
    <w:p w14:paraId="49433B15">
      <w:pPr>
        <w:spacing w:line="240" w:lineRule="auto"/>
        <w:ind w:firstLine="0" w:firstLineChars="0"/>
      </w:pPr>
      <w:r>
        <w:drawing>
          <wp:inline distT="0" distB="0" distL="0" distR="0">
            <wp:extent cx="5274310" cy="10401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A140A">
      <w:pPr>
        <w:pStyle w:val="2"/>
      </w:pPr>
      <w:r>
        <w:t>二、近期报销</w:t>
      </w:r>
    </w:p>
    <w:p w14:paraId="4CB0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</w:pPr>
      <w:r>
        <w:t>在近期报销中可以打印已审批完成单据，或修改驳回单据等。</w:t>
      </w:r>
      <w:r>
        <w:drawing>
          <wp:inline distT="0" distB="0" distL="0" distR="0">
            <wp:extent cx="5244465" cy="16306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l="555" t="45075"/>
                    <a:stretch>
                      <a:fillRect/>
                    </a:stretch>
                  </pic:blipFill>
                  <pic:spPr>
                    <a:xfrm>
                      <a:off x="0" y="0"/>
                      <a:ext cx="5245049" cy="163121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55E1E">
      <w:pPr>
        <w:pStyle w:val="2"/>
      </w:pPr>
      <w:r>
        <w:t>三、单据管理</w:t>
      </w:r>
    </w:p>
    <w:p w14:paraId="4DF35A86">
      <w:pPr>
        <w:spacing w:line="520" w:lineRule="exact"/>
        <w:ind w:firstLine="640"/>
        <w:jc w:val="both"/>
      </w:pPr>
      <w:r>
        <w:rPr>
          <w:rFonts w:hint="eastAsia"/>
        </w:rPr>
        <w:t>我的单据模块展示的是按照状态分类的所有单据。保存过的单据都可以在该模块快速找到。</w:t>
      </w:r>
    </w:p>
    <w:p w14:paraId="4D53D954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提醒：</w:t>
      </w:r>
    </w:p>
    <w:p w14:paraId="0DD82CC5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审批流程未走完前，可以选中报销单据后可自行“删除驳回审批”或“撤销审批”；</w:t>
      </w:r>
    </w:p>
    <w:p w14:paraId="60830544">
      <w:pPr>
        <w:ind w:firstLine="562"/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若审批流程走完，则需让最后一级审批人驳回单据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>或在“打印审批完单据”中自行</w:t>
      </w:r>
      <w:r>
        <w:rPr>
          <w:rFonts w:hint="eastAsia" w:ascii="宋体" w:hAnsi="宋体"/>
          <w:b/>
          <w:color w:val="FF0000"/>
          <w:sz w:val="28"/>
          <w:szCs w:val="28"/>
        </w:rPr>
        <w:t>“撤销审批”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>仅限未制单单据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color w:val="FF0000"/>
          <w:sz w:val="28"/>
          <w:szCs w:val="28"/>
        </w:rPr>
        <w:t>。若财务已制单，则无法再撤回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color w:val="FF0000"/>
          <w:sz w:val="28"/>
          <w:szCs w:val="28"/>
          <w:lang w:val="en-US" w:eastAsia="zh-CN"/>
        </w:rPr>
        <w:t>可在“打印审批完单据”中查看制单状态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color w:val="FF0000"/>
          <w:sz w:val="28"/>
          <w:szCs w:val="28"/>
        </w:rPr>
        <w:t>，如不需要报销，可联系财务前台咨询处理。</w:t>
      </w:r>
    </w:p>
    <w:p w14:paraId="62B6A1E2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4310" cy="249682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BCB01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t>查看已提交单据</w:t>
      </w:r>
    </w:p>
    <w:p w14:paraId="5C359B99">
      <w:pPr>
        <w:spacing w:line="520" w:lineRule="exact"/>
        <w:ind w:firstLine="640"/>
        <w:jc w:val="both"/>
      </w:pPr>
      <w:r>
        <w:rPr>
          <w:rFonts w:hint="eastAsia"/>
        </w:rPr>
        <w:t>已提交单据：包含所有已经提交审批人审批，但未完成全部审批的单据。和被审批人驳回的单据。可以在该页面查询审批的进度、撤销审批、删除修改被驳回的单据等操作。</w:t>
      </w:r>
    </w:p>
    <w:p w14:paraId="3F799F2B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驳回原因：可在此处查看驳回原因，修改后重新上传。</w:t>
      </w:r>
    </w:p>
    <w:p w14:paraId="79A89022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注意</w:t>
      </w:r>
      <w:r>
        <w:rPr>
          <w:rFonts w:hint="eastAsia" w:ascii="宋体" w:hAnsi="宋体"/>
          <w:b/>
          <w:color w:val="FF0000"/>
          <w:sz w:val="28"/>
          <w:szCs w:val="28"/>
        </w:rPr>
        <w:t xml:space="preserve"> ：财务处审核只能挂起一次，第一次挂起可以在“被挂起单据”中找到，如果重新提交后再次打回，就只能退单，将会出现在“草稿箱”中。</w:t>
      </w:r>
    </w:p>
    <w:p w14:paraId="75D3A409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4310" cy="37617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FF068">
      <w:pPr>
        <w:numPr>
          <w:ilvl w:val="0"/>
          <w:numId w:val="2"/>
        </w:numPr>
        <w:ind w:firstLine="64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查看审批物流</w:t>
      </w:r>
    </w:p>
    <w:p w14:paraId="1597984B">
      <w:pPr>
        <w:spacing w:line="520" w:lineRule="exact"/>
        <w:ind w:firstLine="640"/>
        <w:jc w:val="both"/>
      </w:pPr>
      <w:r>
        <w:rPr>
          <w:rFonts w:hint="eastAsia"/>
        </w:rPr>
        <w:t>查看单据的基本信息。基本信息展示单据的报销事由、单据信息、业务信息、项目经费、支付方式等信息。</w:t>
      </w:r>
    </w:p>
    <w:p w14:paraId="64254D7F">
      <w:pPr>
        <w:spacing w:before="156" w:after="156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4601845" cy="4049395"/>
            <wp:effectExtent l="0" t="0" r="8255" b="825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3737">
      <w:pPr>
        <w:spacing w:line="520" w:lineRule="exact"/>
        <w:ind w:firstLine="640"/>
        <w:jc w:val="both"/>
      </w:pPr>
      <w:r>
        <w:rPr>
          <w:rFonts w:hint="eastAsia"/>
        </w:rPr>
        <w:t>附件信息：附件信息展示单据中所有上传的发票和其他附件。</w:t>
      </w:r>
    </w:p>
    <w:p w14:paraId="654AABDA">
      <w:pPr>
        <w:spacing w:before="156" w:after="156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4803775" cy="36576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37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CEEA">
      <w:pPr>
        <w:spacing w:line="520" w:lineRule="exact"/>
        <w:ind w:firstLine="640"/>
        <w:jc w:val="both"/>
      </w:pPr>
      <w:r>
        <w:rPr>
          <w:rFonts w:hint="eastAsia"/>
        </w:rPr>
        <w:t>审批进度：展示所以的审批进度，审批进行到了哪一步，还有哪些人未审等信息。</w:t>
      </w:r>
    </w:p>
    <w:p w14:paraId="26C85803">
      <w:pPr>
        <w:spacing w:before="156" w:after="156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0975" cy="217297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1FB52">
      <w:pPr>
        <w:numPr>
          <w:ilvl w:val="0"/>
          <w:numId w:val="2"/>
        </w:numPr>
        <w:ind w:firstLine="64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查看状态</w:t>
      </w:r>
    </w:p>
    <w:p w14:paraId="3DDFC3DB">
      <w:pPr>
        <w:spacing w:line="520" w:lineRule="exact"/>
        <w:ind w:firstLine="640"/>
        <w:jc w:val="both"/>
      </w:pPr>
      <w:r>
        <w:rPr>
          <w:rFonts w:hint="eastAsia"/>
        </w:rPr>
        <w:t>物流信息展示单据所有的操作记录，包括提交单据、审批通过、驳回的记录等等</w:t>
      </w:r>
    </w:p>
    <w:p w14:paraId="14901E42">
      <w:pPr>
        <w:spacing w:before="156" w:after="156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6690" cy="659130"/>
            <wp:effectExtent l="0" t="0" r="0" b="762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98EB9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 </w:t>
      </w:r>
      <w:bookmarkStart w:id="2" w:name="_Toc209970051"/>
      <w:r>
        <w:rPr>
          <w:rFonts w:hint="eastAsia" w:ascii="宋体" w:hAnsi="宋体"/>
          <w:b/>
          <w:szCs w:val="32"/>
        </w:rPr>
        <w:t>打印审批完单据</w:t>
      </w:r>
      <w:bookmarkEnd w:id="2"/>
    </w:p>
    <w:p w14:paraId="79970627">
      <w:pPr>
        <w:ind w:firstLine="64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打印审批完单据：已经完成全部审批流程</w:t>
      </w:r>
      <w:r>
        <w:rPr>
          <w:rFonts w:hint="eastAsia" w:ascii="宋体" w:hAnsi="宋体"/>
          <w:szCs w:val="32"/>
          <w:lang w:val="en-US" w:eastAsia="zh-CN"/>
        </w:rPr>
        <w:t>的单据</w:t>
      </w:r>
      <w:r>
        <w:rPr>
          <w:rFonts w:hint="eastAsia" w:ascii="宋体" w:hAnsi="宋体"/>
          <w:szCs w:val="32"/>
        </w:rPr>
        <w:t>。</w:t>
      </w:r>
    </w:p>
    <w:p w14:paraId="3DE963F1">
      <w:pPr>
        <w:ind w:firstLine="640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在此处可以打印审批完成的单据，也可用“报销单链接复制”，将打印网址发送到他人、浏览器等地方打印。</w:t>
      </w:r>
    </w:p>
    <w:p w14:paraId="145ADF83">
      <w:pPr>
        <w:ind w:firstLine="640"/>
        <w:rPr>
          <w:rFonts w:hint="eastAsia" w:ascii="宋体" w:hAnsi="宋体"/>
          <w:szCs w:val="32"/>
        </w:rPr>
      </w:pPr>
      <w:r>
        <w:rPr>
          <w:rFonts w:hint="eastAsia" w:ascii="宋体" w:hAnsi="宋体"/>
          <w:szCs w:val="32"/>
        </w:rPr>
        <w:t>最后将纸质封面提交财务处制单。</w:t>
      </w:r>
    </w:p>
    <w:p w14:paraId="554E60C3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在此处财务未接单单据可在审批完成后“撤销审批”。</w:t>
      </w:r>
    </w:p>
    <w:p w14:paraId="2B103E54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0975" cy="2298065"/>
            <wp:effectExtent l="0" t="0" r="0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07F16">
      <w:pPr>
        <w:ind w:firstLine="640"/>
        <w:rPr>
          <w:rFonts w:hint="default" w:ascii="宋体" w:hAnsi="宋体" w:cs="Times New Roman"/>
          <w:szCs w:val="32"/>
          <w:lang w:val="en-US" w:eastAsia="zh-CN"/>
        </w:rPr>
      </w:pPr>
      <w:r>
        <w:rPr>
          <w:rFonts w:hint="eastAsia" w:ascii="宋体" w:hAnsi="宋体" w:cs="Times New Roman"/>
          <w:szCs w:val="32"/>
          <w:lang w:val="en-US" w:eastAsia="zh-CN"/>
        </w:rPr>
        <w:t>如下图所示，状态为“已接单”则只能找财务前台退回；若未接单，可自行“撤销审批”。</w:t>
      </w:r>
    </w:p>
    <w:p w14:paraId="38DF3E23">
      <w:pPr>
        <w:widowControl w:val="0"/>
        <w:spacing w:line="240" w:lineRule="auto"/>
        <w:ind w:firstLine="0" w:firstLineChars="0"/>
        <w:jc w:val="center"/>
        <w:rPr>
          <w:rFonts w:ascii="Calibri" w:hAnsi="Calibri" w:eastAsia="宋体" w:cs="Times New Roman"/>
          <w:kern w:val="2"/>
          <w:sz w:val="21"/>
        </w:rPr>
      </w:pPr>
      <w:r>
        <w:rPr>
          <w:rFonts w:ascii="Calibri" w:hAnsi="Calibri" w:eastAsia="宋体" w:cs="Times New Roman"/>
          <w:kern w:val="2"/>
          <w:sz w:val="21"/>
        </w:rPr>
        <w:drawing>
          <wp:inline distT="0" distB="0" distL="114300" distR="114300">
            <wp:extent cx="5269230" cy="1035050"/>
            <wp:effectExtent l="0" t="0" r="7620" b="12700"/>
            <wp:docPr id="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91A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 w:ascii="Calibri" w:hAnsi="Calibri" w:eastAsia="宋体" w:cs="Times New Roman"/>
          <w:kern w:val="2"/>
          <w:sz w:val="21"/>
          <w:lang w:eastAsia="zh-CN"/>
        </w:rPr>
        <w:drawing>
          <wp:inline distT="0" distB="0" distL="114300" distR="114300">
            <wp:extent cx="5254625" cy="1282065"/>
            <wp:effectExtent l="0" t="0" r="3175" b="13335"/>
            <wp:docPr id="60" name="图片 60" descr="撤销审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撤销审批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4806">
      <w:pPr>
        <w:spacing w:line="520" w:lineRule="exact"/>
        <w:ind w:firstLine="640"/>
        <w:jc w:val="both"/>
      </w:pPr>
      <w:r>
        <w:rPr>
          <w:rFonts w:hint="eastAsia"/>
        </w:rPr>
        <w:t>复制报销封面的链接，在浏览器中可以下载打印。</w:t>
      </w:r>
    </w:p>
    <w:p w14:paraId="5514AEA1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6690" cy="1122045"/>
            <wp:effectExtent l="0" t="0" r="0" b="190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1641D">
      <w:pPr>
        <w:spacing w:line="520" w:lineRule="exact"/>
        <w:ind w:firstLine="640"/>
        <w:jc w:val="both"/>
      </w:pPr>
      <w:r>
        <w:rPr>
          <w:rFonts w:hint="eastAsia"/>
        </w:rPr>
        <w:t>点击打印，显示打印详情。</w:t>
      </w:r>
      <w:r>
        <w:rPr>
          <w:rFonts w:hint="eastAsia"/>
          <w:lang w:val="en-US" w:eastAsia="zh-CN"/>
        </w:rPr>
        <w:t>请在此处打印单据，不要在“审批系统”等地方打印单据，否则可能</w:t>
      </w:r>
      <w:bookmarkStart w:id="6" w:name="_GoBack"/>
      <w:bookmarkEnd w:id="6"/>
      <w:r>
        <w:rPr>
          <w:rFonts w:hint="eastAsia"/>
          <w:lang w:val="en-US" w:eastAsia="zh-CN"/>
        </w:rPr>
        <w:t>没有审批人签章</w:t>
      </w:r>
    </w:p>
    <w:p w14:paraId="6C086C0E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6690" cy="116967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9974A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4554220" cy="2660015"/>
            <wp:effectExtent l="0" t="0" r="0" b="698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8A3CE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t>被挂起单据</w:t>
      </w:r>
    </w:p>
    <w:p w14:paraId="779591BB">
      <w:pPr>
        <w:spacing w:line="520" w:lineRule="exact"/>
        <w:ind w:firstLine="640"/>
        <w:jc w:val="both"/>
      </w:pPr>
      <w:r>
        <w:rPr>
          <w:rFonts w:hint="eastAsia"/>
        </w:rPr>
        <w:t>财务制单时挂起单据，教职工需根据财务审核意见补充报销材料，操作方法为：</w:t>
      </w:r>
    </w:p>
    <w:p w14:paraId="4EC2DC83">
      <w:pPr>
        <w:spacing w:line="520" w:lineRule="exact"/>
        <w:ind w:firstLine="640"/>
        <w:jc w:val="both"/>
      </w:pPr>
      <w:r>
        <w:rPr>
          <w:rFonts w:hint="eastAsia"/>
        </w:rPr>
        <w:t>智能报销——我的单据——被挂起单据——去修改——上传附件——确认提交</w:t>
      </w:r>
    </w:p>
    <w:p w14:paraId="03AC7E49">
      <w:pPr>
        <w:ind w:firstLine="562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b/>
          <w:color w:val="FF0000"/>
          <w:sz w:val="28"/>
          <w:szCs w:val="28"/>
        </w:rPr>
        <w:t>注意</w:t>
      </w:r>
      <w:r>
        <w:rPr>
          <w:rFonts w:hint="eastAsia" w:ascii="宋体" w:hAnsi="宋体"/>
          <w:b/>
          <w:color w:val="FF0000"/>
          <w:sz w:val="28"/>
          <w:szCs w:val="28"/>
        </w:rPr>
        <w:t xml:space="preserve"> ：财务处审核只能挂起一次，第一次挂起可以在“被挂起单据”中找到，如果重新提交后再次打回，就只能退单，将会出现在“查看已提交单据”中。</w:t>
      </w:r>
    </w:p>
    <w:p w14:paraId="5D94F5D3">
      <w:pPr>
        <w:pStyle w:val="15"/>
        <w:ind w:left="440" w:firstLine="0" w:firstLineChars="0"/>
      </w:pPr>
      <w:r>
        <w:drawing>
          <wp:inline distT="0" distB="0" distL="114300" distR="114300">
            <wp:extent cx="5266055" cy="2813685"/>
            <wp:effectExtent l="0" t="0" r="698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C3FA8">
      <w:pPr>
        <w:pStyle w:val="15"/>
        <w:ind w:left="440" w:firstLine="0" w:firstLineChars="0"/>
      </w:pPr>
      <w:r>
        <w:drawing>
          <wp:inline distT="0" distB="0" distL="114300" distR="114300">
            <wp:extent cx="5266690" cy="2201545"/>
            <wp:effectExtent l="0" t="0" r="635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90B95">
      <w:pPr>
        <w:pStyle w:val="15"/>
        <w:ind w:left="440" w:firstLine="0" w:firstLineChars="0"/>
      </w:pPr>
      <w:r>
        <w:drawing>
          <wp:inline distT="0" distB="0" distL="114300" distR="114300">
            <wp:extent cx="5274310" cy="4644390"/>
            <wp:effectExtent l="0" t="0" r="1397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64B6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 xml:space="preserve"> </w:t>
      </w:r>
      <w:bookmarkStart w:id="3" w:name="_Toc209970052"/>
      <w:r>
        <w:rPr>
          <w:rFonts w:hint="eastAsia" w:ascii="宋体" w:hAnsi="宋体"/>
          <w:b/>
          <w:szCs w:val="32"/>
        </w:rPr>
        <w:t>草稿箱单据</w:t>
      </w:r>
      <w:bookmarkEnd w:id="3"/>
    </w:p>
    <w:p w14:paraId="1EC6A22F">
      <w:pPr>
        <w:spacing w:line="520" w:lineRule="exact"/>
        <w:ind w:firstLine="640"/>
        <w:jc w:val="both"/>
      </w:pPr>
      <w:r>
        <w:rPr>
          <w:rFonts w:hint="eastAsia"/>
        </w:rPr>
        <w:t>草稿箱单据：所有还没有提交审批人审批的单据。包括：</w:t>
      </w:r>
    </w:p>
    <w:p w14:paraId="310B6860">
      <w:pPr>
        <w:spacing w:line="520" w:lineRule="exact"/>
        <w:ind w:firstLine="640"/>
        <w:jc w:val="both"/>
      </w:pPr>
      <w:r>
        <w:rPr>
          <w:rFonts w:hint="eastAsia"/>
        </w:rPr>
        <w:t>待修改单据-保存后未选择支付方式的单据。</w:t>
      </w:r>
    </w:p>
    <w:p w14:paraId="31E585E4">
      <w:pPr>
        <w:spacing w:line="520" w:lineRule="exact"/>
        <w:ind w:firstLine="640"/>
        <w:jc w:val="both"/>
      </w:pPr>
      <w:r>
        <w:rPr>
          <w:rFonts w:hint="eastAsia"/>
        </w:rPr>
        <w:t>待提交单据-撤销审批的单据。</w:t>
      </w:r>
    </w:p>
    <w:p w14:paraId="647AF0D3">
      <w:pPr>
        <w:spacing w:line="520" w:lineRule="exact"/>
        <w:ind w:firstLine="640"/>
        <w:jc w:val="both"/>
      </w:pPr>
      <w:r>
        <w:rPr>
          <w:rFonts w:hint="eastAsia"/>
        </w:rPr>
        <w:t>待提交审批-未选择审批流程的单据。</w:t>
      </w:r>
    </w:p>
    <w:p w14:paraId="4CC4ABDD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66690" cy="1104265"/>
            <wp:effectExtent l="0" t="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3C54">
      <w:pPr>
        <w:spacing w:line="520" w:lineRule="exact"/>
        <w:ind w:firstLine="640"/>
        <w:jc w:val="both"/>
      </w:pPr>
      <w:r>
        <w:rPr>
          <w:rFonts w:hint="eastAsia"/>
        </w:rPr>
        <w:t>点修改可重新对单据进行修改后提交审核</w:t>
      </w:r>
    </w:p>
    <w:p w14:paraId="610BA1E1">
      <w:pPr>
        <w:spacing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inline distT="0" distB="0" distL="0" distR="0">
            <wp:extent cx="5278755" cy="463740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463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F648A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8755" cy="3669665"/>
            <wp:effectExtent l="0" t="0" r="0" b="698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0C819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8755" cy="254127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ED4F2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bookmarkStart w:id="4" w:name="_Toc209970053"/>
      <w:r>
        <w:rPr>
          <w:rFonts w:hint="eastAsia" w:ascii="宋体" w:hAnsi="宋体"/>
          <w:b/>
          <w:szCs w:val="32"/>
        </w:rPr>
        <w:t>制单完成单据</w:t>
      </w:r>
      <w:bookmarkEnd w:id="4"/>
    </w:p>
    <w:p w14:paraId="43F2F6F5">
      <w:pPr>
        <w:spacing w:line="520" w:lineRule="exact"/>
        <w:ind w:firstLine="640"/>
        <w:jc w:val="both"/>
      </w:pPr>
      <w:r>
        <w:rPr>
          <w:rFonts w:hint="eastAsia"/>
        </w:rPr>
        <w:t>制单完成单据里可看到已经审批完成或者已制单的财务单据信息，点“查看状态”可阅览。</w:t>
      </w:r>
    </w:p>
    <w:p w14:paraId="21B4A7A1">
      <w:pPr>
        <w:pStyle w:val="4"/>
        <w:spacing w:line="240" w:lineRule="auto"/>
        <w:ind w:firstLine="0" w:firstLineChars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2984500</wp:posOffset>
            </wp:positionV>
            <wp:extent cx="5363210" cy="4687570"/>
            <wp:effectExtent l="0" t="0" r="0" b="0"/>
            <wp:wrapSquare wrapText="bothSides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-1697" b="26324"/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468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5278755" cy="2950845"/>
            <wp:effectExtent l="0" t="0" r="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35AC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bookmarkStart w:id="5" w:name="_Toc209970054"/>
      <w:r>
        <w:rPr>
          <w:rFonts w:hint="eastAsia" w:ascii="宋体" w:hAnsi="宋体"/>
          <w:b/>
          <w:szCs w:val="32"/>
        </w:rPr>
        <w:t>制单失败单据</w:t>
      </w:r>
    </w:p>
    <w:p w14:paraId="2166DF1F">
      <w:pPr>
        <w:spacing w:line="520" w:lineRule="exact"/>
        <w:ind w:firstLine="640"/>
        <w:jc w:val="both"/>
      </w:pPr>
      <w:r>
        <w:t>财务制单时驳回的单据在“财务制单</w:t>
      </w:r>
      <w:r>
        <w:rPr>
          <w:rFonts w:hint="eastAsia"/>
        </w:rPr>
        <w:t>失败</w:t>
      </w:r>
      <w:r>
        <w:t>”里可以查询到。</w:t>
      </w:r>
    </w:p>
    <w:p w14:paraId="395B7D58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4310" cy="3187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E3D3D">
      <w:pPr>
        <w:numPr>
          <w:ilvl w:val="0"/>
          <w:numId w:val="1"/>
        </w:numPr>
        <w:spacing w:line="600" w:lineRule="exact"/>
        <w:ind w:left="0" w:firstLine="643"/>
        <w:outlineLvl w:val="1"/>
        <w:rPr>
          <w:rFonts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待审单据</w:t>
      </w:r>
      <w:bookmarkEnd w:id="5"/>
    </w:p>
    <w:p w14:paraId="59C64EF0">
      <w:pPr>
        <w:spacing w:line="520" w:lineRule="exact"/>
        <w:ind w:firstLine="640"/>
        <w:jc w:val="both"/>
      </w:pPr>
      <w:r>
        <w:rPr>
          <w:rFonts w:hint="eastAsia"/>
        </w:rPr>
        <w:t>点击“待审单据”可以跳转到目前需要自己审批的单据页面。</w:t>
      </w:r>
    </w:p>
    <w:p w14:paraId="69C99B7B">
      <w:pPr>
        <w:pStyle w:val="4"/>
        <w:spacing w:line="240" w:lineRule="auto"/>
        <w:ind w:firstLine="0" w:firstLineChars="0"/>
        <w:jc w:val="center"/>
      </w:pPr>
      <w:r>
        <w:drawing>
          <wp:inline distT="0" distB="0" distL="0" distR="0">
            <wp:extent cx="4097020" cy="3230245"/>
            <wp:effectExtent l="0" t="0" r="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46ACB">
      <w:pPr>
        <w:pStyle w:val="4"/>
        <w:spacing w:line="240" w:lineRule="auto"/>
        <w:ind w:firstLine="0" w:firstLineChars="0"/>
      </w:pPr>
      <w:r>
        <w:drawing>
          <wp:inline distT="0" distB="0" distL="0" distR="0">
            <wp:extent cx="5278755" cy="1383665"/>
            <wp:effectExtent l="0" t="0" r="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5097B">
      <w:pPr>
        <w:pStyle w:val="4"/>
        <w:spacing w:line="240" w:lineRule="auto"/>
        <w:ind w:left="720" w:firstLine="0" w:firstLineChars="0"/>
        <w:jc w:val="both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89C09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F8F52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9B411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DD1CF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761E6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670EC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50086"/>
    <w:multiLevelType w:val="singleLevel"/>
    <w:tmpl w:val="5BF50086"/>
    <w:lvl w:ilvl="0" w:tentative="0">
      <w:start w:val="1"/>
      <w:numFmt w:val="decimal"/>
      <w:lvlText w:val="%1."/>
      <w:lvlJc w:val="left"/>
      <w:pPr>
        <w:ind w:left="440" w:hanging="440"/>
      </w:pPr>
    </w:lvl>
  </w:abstractNum>
  <w:abstractNum w:abstractNumId="1">
    <w:nsid w:val="797F4A81"/>
    <w:multiLevelType w:val="singleLevel"/>
    <w:tmpl w:val="797F4A81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67"/>
    <w:rsid w:val="00061B2E"/>
    <w:rsid w:val="000758E4"/>
    <w:rsid w:val="00095BFE"/>
    <w:rsid w:val="000F3825"/>
    <w:rsid w:val="001318C3"/>
    <w:rsid w:val="00140B16"/>
    <w:rsid w:val="00141FE9"/>
    <w:rsid w:val="00152C10"/>
    <w:rsid w:val="0015483D"/>
    <w:rsid w:val="00162B67"/>
    <w:rsid w:val="00175F4E"/>
    <w:rsid w:val="001921E3"/>
    <w:rsid w:val="001A450D"/>
    <w:rsid w:val="001B3030"/>
    <w:rsid w:val="001F0275"/>
    <w:rsid w:val="0027265D"/>
    <w:rsid w:val="002A4156"/>
    <w:rsid w:val="002F1479"/>
    <w:rsid w:val="00325AC5"/>
    <w:rsid w:val="00381314"/>
    <w:rsid w:val="003D0BCF"/>
    <w:rsid w:val="003D78FA"/>
    <w:rsid w:val="00403EED"/>
    <w:rsid w:val="00405D02"/>
    <w:rsid w:val="004630AA"/>
    <w:rsid w:val="00466232"/>
    <w:rsid w:val="004845E0"/>
    <w:rsid w:val="004B5CA5"/>
    <w:rsid w:val="004F0590"/>
    <w:rsid w:val="00532CB5"/>
    <w:rsid w:val="00543C3F"/>
    <w:rsid w:val="00545627"/>
    <w:rsid w:val="00571DDB"/>
    <w:rsid w:val="005A16D3"/>
    <w:rsid w:val="005D6248"/>
    <w:rsid w:val="00604A83"/>
    <w:rsid w:val="006525F6"/>
    <w:rsid w:val="006A4180"/>
    <w:rsid w:val="006C19A3"/>
    <w:rsid w:val="006C67BE"/>
    <w:rsid w:val="00770416"/>
    <w:rsid w:val="007868AA"/>
    <w:rsid w:val="007B697F"/>
    <w:rsid w:val="007D27A4"/>
    <w:rsid w:val="00800697"/>
    <w:rsid w:val="00844FE6"/>
    <w:rsid w:val="00864B25"/>
    <w:rsid w:val="008B0B81"/>
    <w:rsid w:val="00900782"/>
    <w:rsid w:val="0097222C"/>
    <w:rsid w:val="00976384"/>
    <w:rsid w:val="00983A49"/>
    <w:rsid w:val="00993E83"/>
    <w:rsid w:val="009B6C12"/>
    <w:rsid w:val="009F72A9"/>
    <w:rsid w:val="009F777A"/>
    <w:rsid w:val="00A31C74"/>
    <w:rsid w:val="00A543D1"/>
    <w:rsid w:val="00A913DF"/>
    <w:rsid w:val="00AC5E47"/>
    <w:rsid w:val="00AC7248"/>
    <w:rsid w:val="00B105F7"/>
    <w:rsid w:val="00B326A6"/>
    <w:rsid w:val="00B712E2"/>
    <w:rsid w:val="00B812FA"/>
    <w:rsid w:val="00B82B13"/>
    <w:rsid w:val="00BC56F6"/>
    <w:rsid w:val="00BF3F26"/>
    <w:rsid w:val="00C75A5B"/>
    <w:rsid w:val="00C96ED4"/>
    <w:rsid w:val="00CF0D2F"/>
    <w:rsid w:val="00D035D4"/>
    <w:rsid w:val="00D0417C"/>
    <w:rsid w:val="00D06C54"/>
    <w:rsid w:val="00D75248"/>
    <w:rsid w:val="00D8661C"/>
    <w:rsid w:val="00E41C8F"/>
    <w:rsid w:val="00E77FA5"/>
    <w:rsid w:val="00EC1A33"/>
    <w:rsid w:val="00ED5AA3"/>
    <w:rsid w:val="00F81EF6"/>
    <w:rsid w:val="00FA0984"/>
    <w:rsid w:val="00FA0C77"/>
    <w:rsid w:val="00FC4F35"/>
    <w:rsid w:val="00FE72E6"/>
    <w:rsid w:val="10883A96"/>
    <w:rsid w:val="2285663F"/>
    <w:rsid w:val="2EA17B04"/>
    <w:rsid w:val="2F454616"/>
    <w:rsid w:val="3CAF2C8E"/>
    <w:rsid w:val="51816421"/>
    <w:rsid w:val="5212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20" w:lineRule="exact"/>
      <w:ind w:firstLine="643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1"/>
    <w:autoRedefine/>
    <w:qFormat/>
    <w:uiPriority w:val="10"/>
    <w:pPr>
      <w:spacing w:after="80"/>
      <w:ind w:firstLine="0" w:firstLineChars="0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10">
    <w:name w:val="标题 1 Char"/>
    <w:basedOn w:val="9"/>
    <w:link w:val="2"/>
    <w:qFormat/>
    <w:uiPriority w:val="9"/>
    <w:rPr>
      <w:rFonts w:ascii="Times New Roman" w:hAnsi="Times New Roman" w:eastAsia="仿宋_GB2312" w:cs="Times New Roman"/>
      <w:b/>
      <w:bCs/>
      <w:kern w:val="44"/>
      <w:sz w:val="32"/>
      <w:szCs w:val="44"/>
    </w:rPr>
  </w:style>
  <w:style w:type="character" w:customStyle="1" w:styleId="11">
    <w:name w:val="标题 Char"/>
    <w:basedOn w:val="9"/>
    <w:link w:val="7"/>
    <w:qFormat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14">
    <w:name w:val="标题 2 Char"/>
    <w:basedOn w:val="9"/>
    <w:link w:val="3"/>
    <w:qFormat/>
    <w:uiPriority w:val="9"/>
    <w:rPr>
      <w:rFonts w:eastAsia="仿宋_GB2312" w:asciiTheme="majorHAnsi" w:hAnsiTheme="majorHAnsi" w:cstheme="majorBidi"/>
      <w:b/>
      <w:bCs/>
      <w:kern w:val="0"/>
      <w:sz w:val="32"/>
      <w:szCs w:val="32"/>
    </w:rPr>
  </w:style>
  <w:style w:type="paragraph" w:styleId="15">
    <w:name w:val="List Paragraph"/>
    <w:basedOn w:val="1"/>
    <w:qFormat/>
    <w:uiPriority w:val="34"/>
    <w:pPr>
      <w:widowControl w:val="0"/>
      <w:spacing w:line="240" w:lineRule="auto"/>
      <w:ind w:firstLine="420"/>
      <w:jc w:val="both"/>
    </w:pPr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1207</Words>
  <Characters>1207</Characters>
  <Lines>8</Lines>
  <Paragraphs>2</Paragraphs>
  <TotalTime>0</TotalTime>
  <ScaleCrop>false</ScaleCrop>
  <LinksUpToDate>false</LinksUpToDate>
  <CharactersWithSpaces>1211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2025-09-09T01:41:00Z</dcterms:created>
  <dc:creator>xiaobai</dc:creator>
  <cp:lastModifiedBy>白小慧</cp:lastModifiedBy>
  <dcterms:modified xsi:type="dcterms:W3CDTF">2026-05-09T08:56:39Z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eyJoZGlkIjoiYzBiM2MxMjE5NDYxOGQ4OWMxMWUxOTBkN2IxZGUxN2IiLCJ1c2VySWQiOiIxNzgwMjE4NzEzIn0=</vt:lpwstr>
  </property>
  <property fmtid="{D5CDD505-2E9C-101B-9397-08002B2CF9AE}" pid="3" name="KSOProductBuildVer">
    <vt:lpwstr>2052-12.1.0.24031</vt:lpwstr>
  </property>
  <property fmtid="{D5CDD505-2E9C-101B-9397-08002B2CF9AE}" pid="4" name="ICV">
    <vt:lpwstr>EC376ED9F32E4B8E8096899E8BD3790B_12</vt:lpwstr>
  </property>
</Properties>
</file>